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W w:w="10773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"/>
        <w:tblLook w:val="04A0"/>
      </w:tblPr>
      <w:tblGrid>
        <w:gridCol w:w="4395"/>
        <w:gridCol w:w="6378"/>
      </w:tblGrid>
      <w:tr>
        <w:trPr>
          <w:wAfter w:w="0" w:type="dxa"/>
          <w:trHeight w:val="999" w:hRule="atLeast"/>
        </w:trPr>
        <w:tc>
          <w:tcPr>
            <w:cnfStyle w:val="10100000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01">
            <w:pPr>
              <w:pStyle w:val="NoSpacing"/>
              <w:spacing w:line="240" w:lineRule="exact"/>
              <w:rPr>
                <w:rFonts w:ascii="Times New Roman" w:hAnsi="Times New Roman"/>
                <w:b/>
                <w:color w:val="44546a" w:themeColor="dk2"/>
                <w:sz w:val="30"/>
                <w:szCs w:val="30"/>
              </w:rPr>
            </w:pPr>
            <w:r>
              <w:rPr>
                <w:rStyle w:val="Y2iqfc"/>
                <w:rFonts w:ascii="Times New Roman" w:hAnsi="Times New Roman"/>
                <w:b/>
                <w:color w:val="44546a" w:themeColor="dk2"/>
                <w:sz w:val="30"/>
                <w:szCs w:val="30"/>
                <w:lang w:val="be-BY"/>
              </w:rPr>
              <w:t>Назва адміністрацыйнай працэдуры</w:t>
            </w:r>
          </w:p>
          <w:p w14:paraId="00000002">
            <w:pPr>
              <w:pStyle w:val="Normal"/>
              <w:spacing w:after="0" w:line="220" w:lineRule="exact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cnfStyle w:val="10000000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03">
            <w:pPr>
              <w:pStyle w:val="Newncpi"/>
              <w:ind w:firstLine="0"/>
              <w:rPr>
                <w:b/>
                <w:color w:val="943634"/>
                <w:spacing w:val="-24"/>
                <w:sz w:val="30"/>
                <w:szCs w:val="30"/>
              </w:rPr>
            </w:pPr>
            <w:r>
              <w:rPr>
                <w:b/>
                <w:color w:val="4472c4" w:themeColor="accent1"/>
                <w:spacing w:val="-24"/>
                <w:sz w:val="30"/>
                <w:szCs w:val="30"/>
              </w:rPr>
              <w:t>Уключэнне жылога памяшкання дзяржаўнага жыллёвага фонду ў склад спецыяльных жылых памяшканняў</w:t>
            </w:r>
          </w:p>
        </w:tc>
      </w:tr>
      <w:tr>
        <w:trPr>
          <w:wAfter w:w="0" w:type="dxa"/>
        </w:trPr>
        <w:tc>
          <w:tcPr>
            <w:cnfStyle w:val="001000100000"/>
            <w:tcW w:w="10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000004">
            <w:pPr>
              <w:pStyle w:val="Htmlpreformatted"/>
              <w:shd w:val="clear" w:color="auto" w:fill="f8f9fa"/>
              <w:spacing w:line="467" w:lineRule="atLeast"/>
              <w:jc w:val="center"/>
              <w:rPr>
                <w:rFonts w:ascii="inherit" w:cs="Courier New" w:hAnsi="inherit"/>
                <w:color w:val="202124"/>
                <w:sz w:val="30"/>
                <w:szCs w:val="30"/>
                <w:lang w:val="ru-RU" w:eastAsia="ru-RU"/>
              </w:rPr>
            </w:pPr>
            <w:r>
              <w:rPr>
                <w:rStyle w:val="Y2iqfc"/>
                <w:rFonts w:ascii="inherit" w:cs="Courier New" w:hAnsi="inherit"/>
                <w:b/>
                <w:color w:val="c00000"/>
                <w:sz w:val="30"/>
                <w:szCs w:val="30"/>
                <w:lang w:val="be-BY" w:eastAsia="ru-RU"/>
              </w:rPr>
              <w:t>Нумар адміністрацыйнай працэдуры па Пераліку</w:t>
            </w:r>
            <w:r>
              <w:rPr>
                <w:rStyle w:val="Y2iqfc"/>
                <w:rFonts w:ascii="inherit" w:cs="Courier New" w:hAnsi="inherit"/>
                <w:color w:val="c00000"/>
                <w:sz w:val="30"/>
                <w:szCs w:val="30"/>
                <w:lang w:val="be-BY" w:eastAsia="ru-RU"/>
              </w:rPr>
              <w:t xml:space="preserve"> </w:t>
            </w:r>
            <w:r>
              <w:rPr>
                <w:rFonts w:ascii="Times New Roman" w:cs="Courier New" w:hAnsi="Times New Roman"/>
                <w:color w:val="c00000"/>
                <w:sz w:val="30"/>
                <w:szCs w:val="30"/>
                <w:lang w:val="ru-RU" w:eastAsia="ru-RU"/>
              </w:rPr>
              <w:t xml:space="preserve"> </w:t>
            </w:r>
            <w:r>
              <w:rPr>
                <w:rFonts w:ascii="Times New Roman" w:cs="Courier New" w:hAnsi="Times New Roman"/>
                <w:color w:val="c00000"/>
                <w:sz w:val="30"/>
                <w:szCs w:val="30"/>
                <w:lang w:val="ru-RU" w:eastAsia="ru-RU"/>
              </w:rPr>
              <w:t xml:space="preserve">– </w:t>
            </w:r>
            <w:r>
              <w:rPr>
                <w:rFonts w:ascii="Times New Roman" w:cs="Courier New" w:hAnsi="Times New Roman"/>
                <w:color w:val="c00000"/>
                <w:sz w:val="30"/>
                <w:szCs w:val="30"/>
                <w:lang w:val="ru-RU" w:eastAsia="ru-RU"/>
              </w:rPr>
              <w:t>16.10.1</w:t>
            </w:r>
          </w:p>
        </w:tc>
      </w:tr>
      <w:tr>
        <w:trPr>
          <w:wAfter w:w="0" w:type="dxa"/>
          <w:trHeight w:val="3434" w:hRule="atLeast"/>
        </w:trPr>
        <w:tc>
          <w:tcPr>
            <w:cnfStyle w:val="00100001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05">
            <w:pPr>
              <w:pStyle w:val="NoSpacing"/>
              <w:rPr>
                <w:rFonts w:ascii="Times New Roman" w:hAnsi="Times New Roman"/>
                <w:b/>
                <w:color w:val="44546a" w:themeColor="dk2"/>
                <w:sz w:val="30"/>
                <w:szCs w:val="30"/>
              </w:rPr>
            </w:pPr>
          </w:p>
          <w:p w14:paraId="00000006">
            <w:pPr>
              <w:pStyle w:val="NoSpacing"/>
              <w:rPr>
                <w:rFonts w:ascii="Times New Roman" w:hAnsi="Times New Roman"/>
                <w:b/>
                <w:color w:val="44546a" w:themeColor="dk2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44546a" w:themeColor="dk2"/>
                <w:sz w:val="30"/>
                <w:szCs w:val="30"/>
              </w:rPr>
              <w:t>ДАКУМЕНТЫ І (АБО) ЗВЕСТКІ, ЯКІЯ ПРАДСТАЎЛЯЮЦЦА ЗАЦІКАЎЛЕНЫМІ АСОБАМІ ВА ЎПАЎНАВАЖАНЫ ОРГАН</w:t>
            </w:r>
          </w:p>
          <w:p w14:paraId="00000007">
            <w:pPr>
              <w:pStyle w:val="NoSpacing"/>
              <w:rPr>
                <w:rFonts w:ascii="Times New Roman" w:hAnsi="Times New Roman"/>
                <w:b/>
                <w:color w:val="44546a" w:themeColor="dk2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44546a" w:themeColor="dk2"/>
                <w:sz w:val="30"/>
                <w:szCs w:val="30"/>
              </w:rPr>
              <w:t>ДЛЯ АЖЫЦЦЯЎЛЕННЯ АДМІНІСТРАЦЫЙНАЙ ПРАЦЭДУРЫ</w:t>
            </w:r>
          </w:p>
        </w:tc>
        <w:tc>
          <w:tcPr>
            <w:cnfStyle w:val="00000001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08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  <w:t>- хадайніцтва аб уключэнні жылога памяшкання дзяржаўнага жыллёвага фонду ў склад спецыяльных жылых памяшканняў з указаннем віду спецыяльнага жылога памяшкання</w:t>
            </w:r>
          </w:p>
          <w:p w14:paraId="00000009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</w:pPr>
          </w:p>
          <w:p w14:paraId="0000000A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  <w:t>- тэхнічны пашпарт на жылое памяшканне</w:t>
            </w:r>
          </w:p>
          <w:p w14:paraId="0000000B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</w:pPr>
          </w:p>
          <w:p w14:paraId="0000000C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  <w:t xml:space="preserve">- </w:t>
            </w:r>
            <w:r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  <w:t>пры неабходнасці-рашэнне аб пераабсталяванні жылога памяшкання</w:t>
            </w:r>
          </w:p>
          <w:p w14:paraId="0000000D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</w:pPr>
          </w:p>
          <w:p w14:paraId="0000000E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  <w:t>- дакумент, які пацвярджае права гаспадарчага вядзення або аператыўнага кіравання на жылое памяшканне</w:t>
            </w:r>
          </w:p>
        </w:tc>
      </w:tr>
      <w:tr>
        <w:trPr>
          <w:wAfter w:w="0" w:type="dxa"/>
        </w:trPr>
        <w:tc>
          <w:tcPr>
            <w:cnfStyle w:val="00100010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0F">
            <w:pPr>
              <w:pStyle w:val="NoSpacing"/>
              <w:rPr>
                <w:rStyle w:val="Y2iqfc"/>
                <w:rFonts w:ascii="Times New Roman" w:hAnsi="Times New Roman"/>
                <w:b/>
                <w:color w:val="44546a" w:themeColor="dk2"/>
                <w:sz w:val="30"/>
                <w:szCs w:val="30"/>
              </w:rPr>
            </w:pPr>
            <w:r>
              <w:rPr>
                <w:rStyle w:val="Y2iqfc"/>
                <w:rFonts w:ascii="Times New Roman" w:hAnsi="Times New Roman"/>
                <w:b/>
                <w:color w:val="44546a" w:themeColor="dk2"/>
                <w:sz w:val="30"/>
                <w:szCs w:val="30"/>
              </w:rPr>
              <w:t>ДАКУМЕНТЫ І (АБО) ЗВЕСТКІ, ЗАПЫТВАЕМЫЯ СЛУЖБАЙ "АДНО АКНО"</w:t>
            </w:r>
          </w:p>
        </w:tc>
        <w:tc>
          <w:tcPr>
            <w:cnfStyle w:val="00000010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0">
            <w:pPr>
              <w:pStyle w:val="NoSpacing"/>
              <w:spacing w:line="240" w:lineRule="exact"/>
              <w:rPr>
                <w:rFonts w:ascii="Times New Roman" w:hAnsi="Times New Roman"/>
                <w:color w:val="44546a" w:themeColor="dk2"/>
                <w:sz w:val="30"/>
                <w:szCs w:val="30"/>
              </w:rPr>
            </w:pPr>
            <w:r>
              <w:rPr>
                <w:rFonts w:ascii="Times New Roman" w:hAnsi="Times New Roman"/>
                <w:color w:val="44546a" w:themeColor="dk2"/>
                <w:sz w:val="30"/>
                <w:szCs w:val="30"/>
              </w:rPr>
              <w:t>- інфармацыя аб існуючых у момант выдачы інфармацыі правах і абмежаваннях (абцяжараннях) правоў на аб'ект нерухомай маёмасці</w:t>
            </w:r>
          </w:p>
        </w:tc>
      </w:tr>
      <w:tr>
        <w:trPr>
          <w:wAfter w:w="0" w:type="dxa"/>
        </w:trPr>
        <w:tc>
          <w:tcPr>
            <w:cnfStyle w:val="00100001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1">
            <w:pPr>
              <w:pStyle w:val="NoSpacing"/>
              <w:spacing w:line="240" w:lineRule="exact"/>
              <w:rPr>
                <w:rFonts w:ascii="Times New Roman" w:hAnsi="Times New Roman"/>
                <w:b/>
                <w:color w:val="44546a" w:themeColor="dk2"/>
                <w:sz w:val="30"/>
                <w:szCs w:val="30"/>
              </w:rPr>
            </w:pPr>
            <w:r>
              <w:rPr>
                <w:rStyle w:val="Y2iqfc"/>
                <w:rFonts w:ascii="Times New Roman" w:hAnsi="Times New Roman"/>
                <w:b/>
                <w:color w:val="44546a" w:themeColor="dk2"/>
                <w:sz w:val="30"/>
                <w:szCs w:val="30"/>
                <w:lang w:val="be-BY"/>
              </w:rPr>
              <w:t>Т</w:t>
            </w:r>
            <w:r>
              <w:rPr>
                <w:rStyle w:val="Y2iqfc"/>
                <w:rFonts w:ascii="Times New Roman" w:hAnsi="Times New Roman"/>
                <w:b/>
                <w:color w:val="44546a" w:themeColor="dk2"/>
                <w:sz w:val="30"/>
                <w:szCs w:val="30"/>
                <w:lang w:val="be-BY"/>
              </w:rPr>
              <w:t>эрмін ажыццяўлення адміністрацыйнай працэдуры</w:t>
            </w:r>
          </w:p>
          <w:p w14:paraId="00000012">
            <w:pPr>
              <w:pStyle w:val="NoSpacing"/>
              <w:spacing w:line="240" w:lineRule="exact"/>
              <w:rPr>
                <w:rFonts w:ascii="Times New Roman" w:hAnsi="Times New Roman"/>
                <w:b/>
                <w:color w:val="44546a" w:themeColor="dk2"/>
                <w:sz w:val="30"/>
                <w:szCs w:val="30"/>
              </w:rPr>
            </w:pPr>
          </w:p>
        </w:tc>
        <w:tc>
          <w:tcPr>
            <w:cnfStyle w:val="00000001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3">
            <w:pPr>
              <w:pStyle w:val="NoSpacing"/>
              <w:rPr>
                <w:rFonts w:ascii="Times New Roman" w:hAnsi="Times New Roman"/>
                <w:color w:val="44546a" w:themeColor="dk2"/>
                <w:sz w:val="30"/>
                <w:szCs w:val="30"/>
              </w:rPr>
            </w:pPr>
            <w:r>
              <w:rPr>
                <w:rFonts w:ascii="Times New Roman" w:hAnsi="Times New Roman"/>
                <w:color w:val="44546a" w:themeColor="dk2"/>
                <w:sz w:val="30"/>
                <w:szCs w:val="30"/>
              </w:rPr>
              <w:t xml:space="preserve">15 дней </w:t>
            </w:r>
          </w:p>
        </w:tc>
      </w:tr>
      <w:tr>
        <w:trPr>
          <w:wAfter w:w="0" w:type="dxa"/>
        </w:trPr>
        <w:tc>
          <w:tcPr>
            <w:cnfStyle w:val="00100010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4">
            <w:pPr>
              <w:pStyle w:val="NoSpacing"/>
              <w:spacing w:line="240" w:lineRule="exact"/>
              <w:rPr>
                <w:rFonts w:ascii="Times New Roman" w:hAnsi="Times New Roman"/>
                <w:b/>
                <w:color w:val="44546a" w:themeColor="dk2"/>
                <w:sz w:val="30"/>
                <w:szCs w:val="30"/>
              </w:rPr>
            </w:pPr>
            <w:r>
              <w:rPr>
                <w:rStyle w:val="Y2iqfc"/>
                <w:rFonts w:ascii="Times New Roman" w:hAnsi="Times New Roman"/>
                <w:b/>
                <w:color w:val="44546a" w:themeColor="dk2"/>
                <w:sz w:val="30"/>
                <w:szCs w:val="30"/>
                <w:lang w:val="be-BY"/>
              </w:rPr>
              <w:t>Тэрмін дзеяння даведкі, іншага дакумента (рашэння), якія выдаюцца (прымаецца) пры ажыццяўленні адміністрацыйнай працэдуры</w:t>
            </w:r>
          </w:p>
          <w:p w14:paraId="00000015">
            <w:pPr>
              <w:pStyle w:val="NoSpacing"/>
              <w:spacing w:line="240" w:lineRule="exact"/>
              <w:rPr>
                <w:rStyle w:val="Y2iqfc"/>
                <w:rFonts w:ascii="Times New Roman" w:hAnsi="Times New Roman"/>
                <w:b/>
                <w:color w:val="44546a" w:themeColor="dk2"/>
                <w:sz w:val="30"/>
                <w:szCs w:val="30"/>
              </w:rPr>
            </w:pPr>
          </w:p>
        </w:tc>
        <w:tc>
          <w:tcPr>
            <w:cnfStyle w:val="00000010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6">
            <w:pPr>
              <w:pStyle w:val="NoSpacing"/>
              <w:spacing w:line="240" w:lineRule="exact"/>
              <w:rPr>
                <w:rFonts w:ascii="Times New Roman" w:hAnsi="Times New Roman"/>
                <w:color w:val="44546a" w:themeColor="dk2"/>
                <w:sz w:val="30"/>
                <w:szCs w:val="30"/>
              </w:rPr>
            </w:pPr>
            <w:r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  <w:t>бестэрмінова</w:t>
            </w:r>
          </w:p>
        </w:tc>
      </w:tr>
      <w:tr>
        <w:trPr>
          <w:wAfter w:w="0" w:type="dxa"/>
        </w:trPr>
        <w:tc>
          <w:tcPr>
            <w:cnfStyle w:val="00100001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7">
            <w:pPr>
              <w:pStyle w:val="NoSpacing"/>
              <w:spacing w:line="240" w:lineRule="exact"/>
              <w:rPr>
                <w:rFonts w:ascii="Times New Roman" w:hAnsi="Times New Roman"/>
                <w:b/>
                <w:color w:val="44546a" w:themeColor="dk2"/>
                <w:sz w:val="30"/>
                <w:szCs w:val="30"/>
              </w:rPr>
            </w:pPr>
            <w:r>
              <w:rPr>
                <w:rStyle w:val="Y2iqfc"/>
                <w:rFonts w:ascii="Times New Roman" w:hAnsi="Times New Roman"/>
                <w:b/>
                <w:color w:val="44546a" w:themeColor="dk2"/>
                <w:sz w:val="30"/>
                <w:szCs w:val="30"/>
                <w:lang w:val="be-BY"/>
              </w:rPr>
              <w:t>Памер платы, якая спаганяецца пры ажыццяўленні адміністрацыйнай працэдуры</w:t>
            </w:r>
          </w:p>
          <w:p w14:paraId="00000018">
            <w:pPr>
              <w:pStyle w:val="NoSpacing"/>
              <w:spacing w:line="240" w:lineRule="exact"/>
              <w:rPr>
                <w:rFonts w:ascii="Times New Roman" w:hAnsi="Times New Roman"/>
                <w:b/>
                <w:color w:val="44546a" w:themeColor="dk2"/>
                <w:sz w:val="30"/>
                <w:szCs w:val="30"/>
              </w:rPr>
            </w:pPr>
          </w:p>
        </w:tc>
        <w:tc>
          <w:tcPr>
            <w:cnfStyle w:val="00000001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9">
            <w:pPr>
              <w:pStyle w:val="NoSpacing"/>
              <w:spacing w:line="240" w:lineRule="exact"/>
              <w:rPr>
                <w:rFonts w:ascii="Times New Roman" w:hAnsi="Times New Roman"/>
                <w:color w:val="44546a" w:themeColor="dk2"/>
                <w:sz w:val="30"/>
                <w:szCs w:val="30"/>
              </w:rPr>
            </w:pPr>
            <w:r>
              <w:rPr>
                <w:rFonts w:ascii="Times New Roman" w:hAnsi="Times New Roman"/>
                <w:color w:val="44546a" w:themeColor="dk2"/>
                <w:sz w:val="30"/>
                <w:szCs w:val="30"/>
              </w:rPr>
              <w:t xml:space="preserve"> бясплатна</w:t>
            </w:r>
          </w:p>
          <w:p w14:paraId="0000001A">
            <w:pPr>
              <w:pStyle w:val="NoSpacing"/>
              <w:spacing w:line="240" w:lineRule="exact"/>
              <w:rPr>
                <w:rFonts w:ascii="Times New Roman" w:hAnsi="Times New Roman"/>
                <w:color w:val="44546a" w:themeColor="dk2"/>
                <w:sz w:val="30"/>
                <w:szCs w:val="30"/>
                <w:lang w:val="be-BY"/>
              </w:rPr>
            </w:pPr>
          </w:p>
        </w:tc>
      </w:tr>
    </w:tbl>
    <w:p w14:paraId="0000001B">
      <w:pPr>
        <w:pStyle w:val="NoSpacing"/>
        <w:rPr>
          <w:color w:val="44546a" w:themeColor="dk2"/>
        </w:rPr>
      </w:pPr>
    </w:p>
    <w:p w14:paraId="0000001C">
      <w:pPr>
        <w:pStyle w:val="Normal"/>
        <w:rPr>
          <w:color w:val="44546a" w:themeColor="dk2"/>
        </w:rPr>
      </w:pPr>
    </w:p>
    <w:p w14:paraId="0000001D">
      <w:pPr>
        <w:pStyle w:val="Normal"/>
        <w:rPr>
          <w:color w:val="44546a" w:themeColor="dk2"/>
        </w:rPr>
      </w:pPr>
    </w:p>
    <w:p w14:paraId="0000001E">
      <w:pPr>
        <w:pStyle w:val="Normal"/>
        <w:rPr>
          <w:color w:val="44546a" w:themeColor="dk2"/>
        </w:rPr>
      </w:pPr>
    </w:p>
    <w:p w14:paraId="0000001F">
      <w:pPr>
        <w:pStyle w:val="Normal"/>
        <w:rPr>
          <w:color w:val="44546a" w:themeColor="dk2"/>
        </w:rPr>
      </w:pPr>
    </w:p>
    <w:p w14:paraId="00000020">
      <w:pPr>
        <w:pStyle w:val="Normal"/>
        <w:rPr>
          <w:color w:val="44546a" w:themeColor="dk2"/>
        </w:rPr>
      </w:pPr>
    </w:p>
    <w:p w14:paraId="00000021">
      <w:pPr>
        <w:pStyle w:val="Normal"/>
        <w:rPr>
          <w:color w:val="44546a" w:themeColor="dk2"/>
        </w:rPr>
      </w:pPr>
    </w:p>
    <w:p w14:paraId="00000022">
      <w:pPr>
        <w:pStyle w:val="Normal"/>
        <w:rPr>
          <w:color w:val="44546a" w:themeColor="dk2"/>
        </w:rPr>
      </w:pPr>
    </w:p>
    <w:p w14:paraId="00000023">
      <w:pPr>
        <w:pStyle w:val="NoSpacing"/>
        <w:jc w:val="right"/>
        <w:rPr>
          <w:rFonts w:ascii="Times New Roman" w:hAnsi="Times New Roman"/>
          <w:b/>
          <w:i/>
          <w:color w:val="44546a" w:themeColor="dk2"/>
          <w:sz w:val="30"/>
          <w:szCs w:val="30"/>
        </w:rPr>
      </w:pPr>
    </w:p>
    <w:p w14:paraId="00000024">
      <w:pPr>
        <w:pStyle w:val="NoSpacing"/>
        <w:jc w:val="right"/>
        <w:rPr>
          <w:rFonts w:ascii="Times New Roman" w:hAnsi="Times New Roman"/>
          <w:b/>
          <w:i/>
          <w:color w:val="44546a" w:themeColor="dk2"/>
          <w:sz w:val="30"/>
          <w:szCs w:val="30"/>
        </w:rPr>
      </w:pPr>
    </w:p>
    <w:p w14:paraId="00000025">
      <w:pPr>
        <w:pStyle w:val="NoSpacing"/>
        <w:jc w:val="right"/>
        <w:rPr>
          <w:rFonts w:ascii="Times New Roman" w:hAnsi="Times New Roman"/>
          <w:b/>
          <w:i/>
          <w:color w:val="44546a" w:themeColor="dk2"/>
          <w:sz w:val="30"/>
          <w:szCs w:val="30"/>
        </w:rPr>
      </w:pPr>
      <w:r>
        <w:rPr>
          <w:rFonts w:ascii="Times New Roman" w:hAnsi="Times New Roman"/>
          <w:b/>
          <w:i/>
          <w:color w:val="44546a" w:themeColor="dk2"/>
          <w:sz w:val="30"/>
          <w:szCs w:val="30"/>
        </w:rPr>
        <w:t>Афармляецца на афіцыйным бланку арганізацыі</w:t>
      </w:r>
    </w:p>
    <w:p w14:paraId="00000026">
      <w:pPr>
        <w:pStyle w:val="NoSpacing"/>
        <w:jc w:val="right"/>
        <w:rPr>
          <w:rFonts w:ascii="Times New Roman" w:hAnsi="Times New Roman"/>
          <w:color w:val="44546a" w:themeColor="dk2"/>
          <w:sz w:val="30"/>
          <w:szCs w:val="30"/>
        </w:rPr>
      </w:pPr>
    </w:p>
    <w:p w14:paraId="00000027">
      <w:pPr>
        <w:pStyle w:val="NoSpacing"/>
        <w:jc w:val="right"/>
        <w:rPr>
          <w:rFonts w:ascii="Times New Roman" w:hAnsi="Times New Roman"/>
          <w:color w:val="44546a" w:themeColor="dk2"/>
          <w:sz w:val="30"/>
          <w:szCs w:val="30"/>
        </w:rPr>
      </w:pPr>
    </w:p>
    <w:p w14:paraId="00000028">
      <w:pPr>
        <w:pStyle w:val="NoSpacing"/>
        <w:ind w:left="5103"/>
        <w:rPr>
          <w:rFonts w:ascii="Times New Roman" w:hAnsi="Times New Roman"/>
          <w:color w:val="44546a" w:themeColor="dk2"/>
          <w:sz w:val="30"/>
          <w:szCs w:val="30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Ушацкі</w:t>
      </w:r>
      <w:r>
        <w:rPr>
          <w:rFonts w:ascii="Times New Roman" w:hAnsi="Times New Roman"/>
          <w:color w:val="44546a" w:themeColor="dk2"/>
          <w:sz w:val="30"/>
          <w:szCs w:val="30"/>
        </w:rPr>
        <w:t xml:space="preserve"> раённы</w:t>
      </w:r>
    </w:p>
    <w:p w14:paraId="00000029">
      <w:pPr>
        <w:pStyle w:val="NoSpacing"/>
        <w:ind w:left="5103"/>
        <w:rPr>
          <w:rFonts w:ascii="Times New Roman" w:hAnsi="Times New Roman"/>
          <w:color w:val="44546a" w:themeColor="dk2"/>
          <w:sz w:val="30"/>
          <w:szCs w:val="30"/>
        </w:rPr>
      </w:pPr>
      <w:r>
        <w:rPr>
          <w:rFonts w:ascii="Times New Roman" w:hAnsi="Times New Roman"/>
          <w:color w:val="44546a" w:themeColor="dk2"/>
          <w:sz w:val="30"/>
          <w:szCs w:val="30"/>
        </w:rPr>
        <w:t>выканаўчы камітэт</w:t>
      </w:r>
    </w:p>
    <w:p w14:paraId="0000002A">
      <w:pPr>
        <w:pStyle w:val="NoSpacing"/>
        <w:jc w:val="right"/>
        <w:rPr>
          <w:rFonts w:ascii="Times New Roman" w:hAnsi="Times New Roman"/>
          <w:color w:val="44546a" w:themeColor="dk2"/>
          <w:sz w:val="30"/>
          <w:szCs w:val="30"/>
        </w:rPr>
      </w:pPr>
    </w:p>
    <w:p w14:paraId="0000002B">
      <w:pPr>
        <w:pStyle w:val="Normal"/>
        <w:jc w:val="center"/>
        <w:rPr>
          <w:rFonts w:ascii="Times New Roman" w:hAnsi="Times New Roman"/>
          <w:color w:val="44546a" w:themeColor="dk2"/>
          <w:sz w:val="30"/>
          <w:szCs w:val="30"/>
        </w:rPr>
      </w:pPr>
      <w:r>
        <w:rPr>
          <w:rFonts w:ascii="Times New Roman" w:hAnsi="Times New Roman"/>
          <w:color w:val="44546a" w:themeColor="dk2"/>
          <w:sz w:val="30"/>
          <w:szCs w:val="30"/>
        </w:rPr>
        <w:t>Заяв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а</w:t>
      </w:r>
      <w:r>
        <w:rPr>
          <w:rFonts w:ascii="Times New Roman" w:hAnsi="Times New Roman"/>
          <w:color w:val="44546a" w:themeColor="dk2"/>
          <w:sz w:val="30"/>
          <w:szCs w:val="30"/>
        </w:rPr>
        <w:t>.</w:t>
      </w:r>
    </w:p>
    <w:p w14:paraId="0000002C">
      <w:pPr>
        <w:pStyle w:val="NoSpacing"/>
        <w:jc w:val="both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________________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_________________________________________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</w:t>
      </w:r>
    </w:p>
    <w:p w14:paraId="0000002D">
      <w:pPr>
        <w:pStyle w:val="NoSpacing"/>
        <w:ind w:firstLine="708"/>
        <w:jc w:val="center"/>
        <w:rPr>
          <w:rFonts w:ascii="Times New Roman" w:hAnsi="Times New Roman"/>
          <w:color w:val="44546a" w:themeColor="dk2"/>
          <w:sz w:val="24"/>
          <w:szCs w:val="24"/>
          <w:lang w:val="be-BY"/>
        </w:rPr>
      </w:pPr>
      <w:r>
        <w:rPr>
          <w:rFonts w:ascii="Times New Roman" w:hAnsi="Times New Roman"/>
          <w:color w:val="44546a" w:themeColor="dk2"/>
          <w:sz w:val="24"/>
          <w:szCs w:val="24"/>
          <w:lang w:val="be-BY"/>
        </w:rPr>
        <w:t>(назва юрыдычнай асобы, прозвішча, уласнае імя, імя па бацьку</w:t>
      </w:r>
    </w:p>
    <w:p w14:paraId="0000002E">
      <w:pPr>
        <w:pStyle w:val="NoSpacing"/>
        <w:jc w:val="both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_________________________________________________________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</w:t>
      </w:r>
    </w:p>
    <w:p w14:paraId="0000002F">
      <w:pPr>
        <w:pStyle w:val="NoSpacing"/>
        <w:ind w:firstLine="708"/>
        <w:jc w:val="center"/>
        <w:rPr>
          <w:rFonts w:ascii="Times New Roman" w:hAnsi="Times New Roman"/>
          <w:color w:val="44546a" w:themeColor="dk2"/>
          <w:sz w:val="24"/>
          <w:szCs w:val="24"/>
          <w:lang w:val="be-BY"/>
        </w:rPr>
      </w:pPr>
      <w:r>
        <w:rPr>
          <w:rFonts w:ascii="Times New Roman" w:hAnsi="Times New Roman"/>
          <w:color w:val="44546a" w:themeColor="dk2"/>
          <w:sz w:val="24"/>
          <w:szCs w:val="24"/>
          <w:lang w:val="be-BY"/>
        </w:rPr>
        <w:t>(калі такое маецца) індывідуальнага прадпрымальніка)</w:t>
      </w:r>
    </w:p>
    <w:p w14:paraId="00000030">
      <w:pPr>
        <w:pStyle w:val="NoSpacing"/>
        <w:jc w:val="both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___________________________________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______________________</w:t>
      </w:r>
    </w:p>
    <w:p w14:paraId="00000031">
      <w:pPr>
        <w:pStyle w:val="NoSpacing"/>
        <w:ind w:firstLine="708"/>
        <w:jc w:val="both"/>
        <w:rPr>
          <w:rFonts w:ascii="Times New Roman" w:hAnsi="Times New Roman"/>
          <w:color w:val="44546a" w:themeColor="dk2"/>
          <w:sz w:val="24"/>
          <w:szCs w:val="24"/>
          <w:lang w:val="be-BY"/>
        </w:rPr>
      </w:pPr>
      <w:r>
        <w:rPr>
          <w:rFonts w:ascii="Times New Roman" w:hAnsi="Times New Roman"/>
          <w:color w:val="44546a" w:themeColor="dk2"/>
          <w:sz w:val="24"/>
          <w:szCs w:val="24"/>
          <w:lang w:val="be-BY"/>
        </w:rPr>
        <w:t>(месца знаходжання юрыдычнай асобы, месца жыхарства індывідуальнага</w:t>
      </w:r>
    </w:p>
    <w:p w14:paraId="00000032">
      <w:pPr>
        <w:pStyle w:val="NoSpacing"/>
        <w:jc w:val="both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_________________________________________________________</w:t>
      </w:r>
    </w:p>
    <w:p w14:paraId="00000033">
      <w:pPr>
        <w:pStyle w:val="NoSpacing"/>
        <w:ind w:firstLine="708"/>
        <w:jc w:val="center"/>
        <w:rPr>
          <w:rFonts w:ascii="Times New Roman" w:hAnsi="Times New Roman"/>
          <w:color w:val="44546a" w:themeColor="dk2"/>
          <w:sz w:val="24"/>
          <w:szCs w:val="24"/>
          <w:lang w:val="be-BY"/>
        </w:rPr>
      </w:pPr>
      <w:r>
        <w:rPr>
          <w:rFonts w:ascii="Times New Roman" w:hAnsi="Times New Roman"/>
          <w:color w:val="44546a" w:themeColor="dk2"/>
          <w:sz w:val="24"/>
          <w:szCs w:val="24"/>
          <w:lang w:val="be-BY"/>
        </w:rPr>
        <w:t>прадпрымальніка, тэлефон, факс)</w:t>
      </w:r>
    </w:p>
    <w:p w14:paraId="00000034">
      <w:pPr>
        <w:pStyle w:val="NoSpacing"/>
        <w:ind w:firstLine="708"/>
        <w:jc w:val="center"/>
        <w:rPr>
          <w:rFonts w:ascii="Times New Roman" w:hAnsi="Times New Roman"/>
          <w:color w:val="44546a" w:themeColor="dk2"/>
          <w:sz w:val="24"/>
          <w:szCs w:val="24"/>
          <w:lang w:val="be-BY"/>
        </w:rPr>
      </w:pPr>
    </w:p>
    <w:p w14:paraId="00000035">
      <w:pPr>
        <w:pStyle w:val="NoSpacing"/>
        <w:ind w:firstLine="708"/>
        <w:jc w:val="both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Рэгістрацыйны нумар у АДР______________________________ ___________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______________________________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__________________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 xml:space="preserve">Найменне дзяржаўнага органа, іншай дзяржаўнай арганізацыі, якія ажыццявілі дзяржаўную рэгістрацыю, 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____________________________________________________________</w:t>
      </w:r>
    </w:p>
    <w:p w14:paraId="00000036">
      <w:pPr>
        <w:pStyle w:val="NoSpacing"/>
        <w:jc w:val="both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____________________________________________________________</w:t>
      </w:r>
    </w:p>
    <w:p w14:paraId="00000037">
      <w:pPr>
        <w:pStyle w:val="NoSpacing"/>
        <w:ind w:firstLine="708"/>
        <w:jc w:val="both"/>
        <w:rPr>
          <w:rFonts w:ascii="Times New Roman" w:hAnsi="Times New Roman"/>
          <w:color w:val="44546a" w:themeColor="dk2"/>
          <w:sz w:val="30"/>
          <w:szCs w:val="30"/>
          <w:lang w:val="be-BY"/>
        </w:rPr>
      </w:pPr>
    </w:p>
    <w:p w14:paraId="00000038">
      <w:pPr>
        <w:pStyle w:val="NoSpacing"/>
        <w:ind w:firstLine="708"/>
        <w:jc w:val="both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 xml:space="preserve">Прашу ўключыць жылое памяшканне дзяржаўнага жыллёвага фонду 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 xml:space="preserve">па адрасе:_____________________________________________ _______________________________________________ 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ў склад спецыяльных жылых памяшканняў.</w:t>
      </w:r>
    </w:p>
    <w:p w14:paraId="00000039">
      <w:pPr>
        <w:pStyle w:val="NoSpacing"/>
        <w:ind w:firstLine="708"/>
        <w:jc w:val="both"/>
        <w:rPr>
          <w:rFonts w:ascii="Times New Roman" w:hAnsi="Times New Roman"/>
          <w:color w:val="44546a" w:themeColor="dk2"/>
          <w:sz w:val="30"/>
          <w:szCs w:val="30"/>
          <w:lang w:val="be-BY"/>
        </w:rPr>
      </w:pPr>
    </w:p>
    <w:p w14:paraId="0000003A">
      <w:pPr>
        <w:pStyle w:val="NoSpacing"/>
        <w:ind w:firstLine="708"/>
        <w:jc w:val="both"/>
        <w:rPr>
          <w:rFonts w:ascii="Times New Roman" w:hAnsi="Times New Roman"/>
          <w:color w:val="44546a" w:themeColor="dk2"/>
          <w:sz w:val="30"/>
          <w:szCs w:val="30"/>
          <w:lang w:val="be-BY"/>
        </w:rPr>
      </w:pPr>
    </w:p>
    <w:p w14:paraId="0000003B">
      <w:pPr>
        <w:pStyle w:val="NoSpacing"/>
        <w:ind w:firstLine="708"/>
        <w:jc w:val="both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Да заявы прыкладаюцца:</w:t>
      </w:r>
    </w:p>
    <w:p w14:paraId="0000003C">
      <w:pPr>
        <w:pStyle w:val="NoSpacing"/>
        <w:rPr>
          <w:rFonts w:ascii="Times New Roman" w:hAnsi="Times New Roman"/>
          <w:color w:val="44546a" w:themeColor="dk2"/>
          <w:lang w:val="be-BY"/>
        </w:rPr>
      </w:pPr>
      <w:r>
        <w:rPr>
          <w:rFonts w:ascii="Times New Roman" w:hAnsi="Times New Roman"/>
          <w:color w:val="44546a" w:themeColor="dk2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44546a" w:themeColor="dk2"/>
          <w:lang w:val="be-BY"/>
        </w:rPr>
        <w:t xml:space="preserve"> </w:t>
      </w:r>
    </w:p>
    <w:p w14:paraId="0000003D">
      <w:pPr>
        <w:pStyle w:val="NoSpacing"/>
        <w:rPr>
          <w:rFonts w:ascii="Times New Roman" w:hAnsi="Times New Roman"/>
          <w:color w:val="44546a" w:themeColor="dk2"/>
          <w:lang w:val="be-BY"/>
        </w:rPr>
      </w:pPr>
    </w:p>
    <w:p w14:paraId="0000003E">
      <w:pPr>
        <w:pStyle w:val="NoSpacing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Кіраўнік юрыдычнай асобы</w:t>
      </w:r>
    </w:p>
    <w:p w14:paraId="0000003F">
      <w:pPr>
        <w:pStyle w:val="NoSpacing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(індывідуальны прадпрымальнік)</w:t>
      </w:r>
    </w:p>
    <w:p w14:paraId="00000040">
      <w:pPr>
        <w:pStyle w:val="NoSpacing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>або ўпаўнаважаная ім асоба</w:t>
      </w: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 xml:space="preserve">       </w:t>
      </w:r>
    </w:p>
    <w:p w14:paraId="00000041">
      <w:pPr>
        <w:pStyle w:val="NoSpacing"/>
        <w:rPr>
          <w:rFonts w:ascii="Times New Roman" w:hAnsi="Times New Roman"/>
          <w:color w:val="44546a" w:themeColor="dk2"/>
          <w:sz w:val="30"/>
          <w:szCs w:val="30"/>
          <w:lang w:val="be-BY"/>
        </w:rPr>
      </w:pPr>
      <w:r>
        <w:rPr>
          <w:rFonts w:ascii="Times New Roman" w:hAnsi="Times New Roman"/>
          <w:color w:val="44546a" w:themeColor="dk2"/>
          <w:sz w:val="30"/>
          <w:szCs w:val="30"/>
          <w:lang w:val="be-BY"/>
        </w:rPr>
        <w:t xml:space="preserve"> ________________                                                 __________________</w:t>
      </w:r>
    </w:p>
    <w:p w14:paraId="00000042">
      <w:pPr>
        <w:pStyle w:val="NoSpacing"/>
        <w:rPr>
          <w:rFonts w:ascii="Times New Roman" w:hAnsi="Times New Roman"/>
          <w:color w:val="44546a" w:themeColor="dk2"/>
          <w:sz w:val="24"/>
          <w:szCs w:val="24"/>
          <w:lang w:val="be-BY"/>
        </w:rPr>
      </w:pPr>
      <w:r>
        <w:rPr>
          <w:rFonts w:ascii="Times New Roman" w:hAnsi="Times New Roman"/>
          <w:color w:val="44546a" w:themeColor="dk2"/>
          <w:sz w:val="24"/>
          <w:szCs w:val="24"/>
          <w:lang w:val="be-BY"/>
        </w:rPr>
        <w:t xml:space="preserve">                 </w:t>
      </w:r>
      <w:r>
        <w:rPr>
          <w:rFonts w:ascii="Times New Roman" w:hAnsi="Times New Roman"/>
          <w:color w:val="44546a" w:themeColor="dk2"/>
          <w:sz w:val="24"/>
          <w:szCs w:val="24"/>
          <w:lang w:val="be-BY"/>
        </w:rPr>
        <w:t xml:space="preserve">(подпіс) </w:t>
      </w:r>
      <w:r>
        <w:rPr>
          <w:rFonts w:ascii="Times New Roman" w:hAnsi="Times New Roman"/>
          <w:color w:val="44546a" w:themeColor="dk2"/>
          <w:sz w:val="24"/>
          <w:szCs w:val="24"/>
          <w:lang w:val="be-BY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44546a" w:themeColor="dk2"/>
          <w:sz w:val="24"/>
          <w:szCs w:val="24"/>
          <w:lang w:val="be-BY"/>
        </w:rPr>
        <w:t>(ініцыялы, прозвішча)</w:t>
      </w:r>
    </w:p>
    <w:p w14:paraId="00000043">
      <w:pPr>
        <w:pStyle w:val="NoSpacing"/>
        <w:rPr>
          <w:rFonts w:ascii="Times New Roman" w:hAnsi="Times New Roman"/>
          <w:color w:val="44546a" w:themeColor="dk2"/>
          <w:sz w:val="30"/>
          <w:szCs w:val="30"/>
        </w:rPr>
      </w:pPr>
    </w:p>
    <w:p w14:paraId="00000044">
      <w:pPr>
        <w:pStyle w:val="NoSpacing"/>
        <w:rPr>
          <w:rFonts w:ascii="Times New Roman" w:hAnsi="Times New Roman"/>
          <w:color w:val="44546a" w:themeColor="dk2"/>
          <w:sz w:val="30"/>
          <w:szCs w:val="30"/>
        </w:rPr>
      </w:pPr>
    </w:p>
    <w:p w14:paraId="00000045">
      <w:pPr>
        <w:pStyle w:val="NoSpacing"/>
        <w:rPr>
          <w:color w:val="44546a" w:themeColor="dk2"/>
        </w:rPr>
      </w:pPr>
      <w:r>
        <w:rPr>
          <w:rFonts w:ascii="Times New Roman" w:hAnsi="Times New Roman"/>
          <w:color w:val="44546a" w:themeColor="dk2"/>
          <w:sz w:val="30"/>
          <w:szCs w:val="30"/>
        </w:rPr>
        <w:t>«_____»_________________</w:t>
      </w:r>
      <w:r>
        <w:rPr>
          <w:rFonts w:ascii="Times New Roman" w:hAnsi="Times New Roman"/>
          <w:color w:val="44546a" w:themeColor="dk2"/>
          <w:sz w:val="30"/>
          <w:szCs w:val="30"/>
        </w:rPr>
        <w:t xml:space="preserve"> 20     г.                        </w:t>
      </w:r>
      <w:r>
        <w:rPr>
          <w:rFonts w:ascii="Times New Roman" w:hAnsi="Times New Roman"/>
          <w:color w:val="44546a" w:themeColor="dk2"/>
          <w:sz w:val="30"/>
          <w:szCs w:val="30"/>
        </w:rPr>
        <w:t xml:space="preserve">      </w:t>
      </w:r>
      <w:r>
        <w:rPr>
          <w:rFonts w:ascii="Times New Roman" w:hAnsi="Times New Roman"/>
          <w:color w:val="44546a" w:themeColor="dk2"/>
          <w:sz w:val="30"/>
          <w:szCs w:val="30"/>
        </w:rPr>
        <w:t xml:space="preserve"> _____________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inherit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be-BY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Y2iqfc">
    <w:name w:val="Y2iqfc"/>
    <w:basedOn w:val="DefaultParagraphFont"/>
    <w:uiPriority w:val="0"/>
    <w:rPr/>
  </w:style>
  <w:style w:type="paragraph" w:customStyle="1" w:styleId="Newncpi">
    <w:name w:val="Newncpi"/>
    <w:basedOn w:val="Normal"/>
    <w:uiPriority w:val="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aliases w:val="Стандартный HTML"/>
    <w:basedOn w:val="Normal"/>
    <w:link w:val="СтандартныйHTMLЗнак"/>
    <w:uiPriority w:val="99"/>
    <w:unhideWhenUsed w:val="on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СтандартныйHTMLЗнак">
    <w:name w:val="Стандартный HTML Знак"/>
    <w:link w:val="Htmlpreformatted"/>
    <w:uiPriority w:val="99"/>
    <w:rPr>
      <w:rFonts w:ascii="Courier New" w:cs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Родченко</dc:creator>
  <cp:lastModifiedBy>Екатерина Родченко</cp:lastModifiedBy>
</cp:coreProperties>
</file>