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F6" w:rsidRPr="00D559F6" w:rsidRDefault="00D559F6" w:rsidP="00D559F6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D559F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КОКЛЮШ. СОВРЕМЕННЫЕ АСПЕКТЫ ВАКЦИНОПРОФИЛАКТИКИ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  </w:t>
      </w: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Коклюш – одна из самых распространенных детских инфекций на планете. Сто лет назад он был основной причиной смерти младенцев и детей младшего возраста во всем мире. Ситуация кардинально изменилась после внедрения во многих странах вакцинации против коклюша в 1940–1950-х годах, в Республике Беларусь – с 1957 года.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   </w:t>
      </w:r>
      <w:bookmarkStart w:id="0" w:name="_GoBack"/>
      <w:bookmarkEnd w:id="0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 настоящее время коклюш встречается глобально. Несмотря на проводимую в большинстве государств вакцинацию против коклюша, возбудитель продолжает циркулировать, вызывая периодические подъемы заболеваемости.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proofErr w:type="spellStart"/>
      <w:r w:rsidRPr="00D559F6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Справочно</w:t>
      </w:r>
      <w:proofErr w:type="spellEnd"/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Согласно данным Центров по контролю и профилактике заболеваний (CDC), в мире ежегодно регистрируется около 24 миллионов случаев коклюша, а также порядка 160 тысяч смертей среди детей младше 5 лет. В 2024 году наблюдались вспышки коклюша в Великобритании, США, странах Европейского региона. 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По данным </w:t>
      </w:r>
      <w:proofErr w:type="spellStart"/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Роспотребнадзора</w:t>
      </w:r>
      <w:proofErr w:type="spellEnd"/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, в Российской Федерации с апреля 2023 года фиксировался очередной выраженный циклический подъем заболеваемости коклюшем, ситуация стабилизировалась в апреле 2024 года, и заболеваемость вернулась к среднемноголетним показателям. В Республике Беларусь также в 2023–2024 годах отмечался существенный подъем заболеваемости коклюшем. В 2025 году </w:t>
      </w:r>
      <w:proofErr w:type="spellStart"/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эпидситуация</w:t>
      </w:r>
      <w:proofErr w:type="spellEnd"/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 носит контролируемый и благополучный характер. 90% от всех заболевших составляют дети до 14 лет. 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Коклюш</w:t>
      </w: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– острое инфекционное заболевание дыхательных путей, передающееся воздушно-капельным путем (при кашле, чихании, разговоре с больным человеком) и характеризующееся длительным течением со специфическими (судорожными) приступами кашля.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Возбудителем инфекции является </w:t>
      </w:r>
      <w:proofErr w:type="spellStart"/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Bordetella</w:t>
      </w:r>
      <w:proofErr w:type="spellEnd"/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pertussis</w:t>
      </w:r>
      <w:proofErr w:type="spellEnd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Источник инфекции – </w:t>
      </w: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больной человек</w:t>
      </w: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Наибольшая восприимчивость</w:t>
      </w: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к инфекции наблюдается у детей в возрасте до 7 лет.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Самый </w:t>
      </w: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опасный</w:t>
      </w: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период для окружающих – первые четыре недели с момента возникновения приступов кашля.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Вероятность заражения взрослых</w:t>
      </w: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в семье с заболевшим ребенком может достигать 30%, при этом у взрослых болезнь чаще протекает в стертой форме.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Основными признаками коклюша являются: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сухой, навязчивый кашель;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постепенное нарастание частоты, длительности и силы кашля;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одутловатость (отечность) лица, кровоизлияния в склеры;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затрудненный свистящий вдох.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Без лечения заболевание может длиться до нескольких месяцев.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Особенно тяжело</w:t>
      </w: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протекает коклюш у </w:t>
      </w: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детей первого года</w:t>
      </w: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жизни. В этом возрасте после кашля могут произойти остановки дыхания, которые длятся от нескольких секунд до минуты и даже дольше.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Следует опасаться также </w:t>
      </w: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осложнений</w:t>
      </w: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, наиболее частыми из которых являются бронхит, пневмония, плеврит, гнойный отит, судороги, энцефалопатия.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У подростков и взрослых чаще отмечаются атипичные формы коклюша со стертой симптоматикой или с продолжительным до трех и более месяцев кашлем.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lastRenderedPageBreak/>
        <w:t>Единственным специфическим методом профилактики коклюша считается </w:t>
      </w:r>
      <w:r w:rsidRPr="00D559F6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вакцинация</w:t>
      </w:r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.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Вакцинация против коклюша включена в большинство национальных программ вакцинации стран мира, однако есть некоторые нюансы: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общепринятая практика – первичная вакцинация проводится детям раннего возраста (на первом году жизни) комбинированными вакцинами (АКДС, пента- или </w:t>
      </w:r>
      <w:proofErr w:type="spellStart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гексавакцинами</w:t>
      </w:r>
      <w:proofErr w:type="spellEnd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);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во многих странах подросткам и взрослым вводятся </w:t>
      </w:r>
      <w:proofErr w:type="spellStart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бустерные</w:t>
      </w:r>
      <w:proofErr w:type="spellEnd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дозы вакцины;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во многих государствах практикуется введение </w:t>
      </w:r>
      <w:proofErr w:type="spellStart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бустерной</w:t>
      </w:r>
      <w:proofErr w:type="spellEnd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дозы вакцины во время беременности для защиты новорожденных (коконная защита);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некоторые страны обновляют свои национальные календари прививок, усиливая рекомендации по вакцинации и </w:t>
      </w:r>
      <w:proofErr w:type="spellStart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бустерным</w:t>
      </w:r>
      <w:proofErr w:type="spellEnd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дозам.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В Республике Беларусь</w:t>
      </w: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длительное время курс вакцинации против коклюша состоял из 4-х доз коклюш-содержащих вакцин, которые вводились детям на первом-втором годах жизни. В настоящее время с учетом совершенствования </w:t>
      </w:r>
      <w:hyperlink r:id="rId4" w:history="1">
        <w:r w:rsidRPr="00D559F6">
          <w:rPr>
            <w:rFonts w:ascii="inherit" w:eastAsia="Times New Roman" w:hAnsi="inherit" w:cs="Times New Roman"/>
            <w:color w:val="04384A"/>
            <w:sz w:val="30"/>
            <w:szCs w:val="24"/>
            <w:u w:val="single"/>
            <w:bdr w:val="none" w:sz="0" w:space="0" w:color="auto" w:frame="1"/>
            <w:lang w:eastAsia="ru-RU"/>
          </w:rPr>
          <w:t>Национального календаря профилактических прививок</w:t>
        </w:r>
      </w:hyperlink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схема вакцинации против коклюша включает пять профилактических прививок: курс первичной вакцинации на первом году жизни, состоящий из трех профилактических прививок в </w:t>
      </w: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2, 3, 4 месяца</w:t>
      </w: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, и двух </w:t>
      </w:r>
      <w:proofErr w:type="spellStart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бустерных</w:t>
      </w:r>
      <w:proofErr w:type="spellEnd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прививок – детям в возрасте </w:t>
      </w: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18 месяцев</w:t>
      </w: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и </w:t>
      </w: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6 лет</w:t>
      </w: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proofErr w:type="spellStart"/>
      <w:r w:rsidRPr="00D559F6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Справочно</w:t>
      </w:r>
      <w:proofErr w:type="spellEnd"/>
      <w:r w:rsidRPr="00D559F6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: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с 1 января 2025 года вступили в силу изменения в постановление Министерства здравоохранения Республики Беларусь от 17 мая 2018 года № 42 (в редакции от 01.07.2024 № 111) «О профилактических прививках», в том числе была введена </w:t>
      </w:r>
      <w:proofErr w:type="spellStart"/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бустерная</w:t>
      </w:r>
      <w:proofErr w:type="spellEnd"/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 вакцинация против коклюша детей 6 лет, что позволит поддержать иммунную защиту и сократить заболеваемость коклюшем в подростковом возрасте.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Для предупреждения коклюша используют два вида вакцинных компонентов (</w:t>
      </w:r>
      <w:proofErr w:type="spellStart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цельноклеточные</w:t>
      </w:r>
      <w:proofErr w:type="spellEnd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и бесклеточные). Практически все коклюшные вакцины применяются в виде комбинированных препаратов с дифтерийным и столбнячным анатоксином, а также дополнительно с другими антигенами (например, с полисахаридом </w:t>
      </w:r>
      <w:proofErr w:type="spellStart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Haemophilus</w:t>
      </w:r>
      <w:proofErr w:type="spellEnd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</w:t>
      </w:r>
      <w:proofErr w:type="spellStart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influenzae</w:t>
      </w:r>
      <w:proofErr w:type="spellEnd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типа b).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proofErr w:type="spellStart"/>
      <w:r w:rsidRPr="00D559F6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Справочно</w:t>
      </w:r>
      <w:proofErr w:type="spellEnd"/>
      <w:r w:rsidRPr="00D559F6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: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1957 год – создана вакцина АКДС (комбинированная </w:t>
      </w:r>
      <w:proofErr w:type="spellStart"/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цельноклеточная</w:t>
      </w:r>
      <w:proofErr w:type="spellEnd"/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 вакцина против коклюша, дифтерии и столбняка), она содержит в своем составе специальный убитый коклюшный микроорганизм, который не может вызвать заболевание, но обеспечивает формирование защиты.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1981 год – создана </w:t>
      </w:r>
      <w:proofErr w:type="spellStart"/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ацеллюлярная</w:t>
      </w:r>
      <w:proofErr w:type="spellEnd"/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 (бесклеточная) вакцина против коклюша, которая содержит не целый микроорганизм, а лишь его отдельные фрагменты, играющие наиболее важную роль в создании защиты от заболевания.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Вакцины, содержащие </w:t>
      </w:r>
      <w:proofErr w:type="spellStart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цельноклеточный</w:t>
      </w:r>
      <w:proofErr w:type="spellEnd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коклюшный компонент, могут применяться для вакцинации детей до 4-х лет включительно. При наличии противопоказаний к введению </w:t>
      </w:r>
      <w:proofErr w:type="spellStart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цельноклеточного</w:t>
      </w:r>
      <w:proofErr w:type="spellEnd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коклюшного компонента вакцинация проводится бесклеточными вакцинами.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proofErr w:type="spellStart"/>
      <w:r w:rsidRPr="00D559F6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Справочно</w:t>
      </w:r>
      <w:proofErr w:type="spellEnd"/>
      <w:r w:rsidRPr="00D559F6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: </w:t>
      </w:r>
    </w:p>
    <w:p w:rsidR="00D559F6" w:rsidRPr="00D559F6" w:rsidRDefault="00D559F6" w:rsidP="00D559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решение о наличии показаний к использованию вакцин, содержащих бесклеточный коклюшный компонент, принимает иммунологическая комиссия территориальной организации здравоохранения.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Коклюшные вакцины для </w:t>
      </w:r>
      <w:proofErr w:type="spellStart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бустерной</w:t>
      </w:r>
      <w:proofErr w:type="spellEnd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вакцинации взрослых комбинированы с дифтерийным и столбнячным анатоксинами с уменьшенным содержанием антигенов.</w:t>
      </w:r>
    </w:p>
    <w:p w:rsidR="00D559F6" w:rsidRPr="00D559F6" w:rsidRDefault="00D559F6" w:rsidP="00D559F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Коклюш-содержащие вакцины весьма эффективны, демонстрируют 70–95% эпидемиологическую эффективность. Длительность сохранения эффективного иммунитета составляет в среднем 5–7 лет для </w:t>
      </w:r>
      <w:proofErr w:type="spellStart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цельноклеточных</w:t>
      </w:r>
      <w:proofErr w:type="spellEnd"/>
      <w:r w:rsidRPr="00D559F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вакцин и 4–5 лет для бесклеточных вакцин.</w:t>
      </w:r>
    </w:p>
    <w:p w:rsidR="00D559F6" w:rsidRPr="00D559F6" w:rsidRDefault="00D559F6" w:rsidP="00D559F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Уважаемые родители!</w:t>
      </w:r>
    </w:p>
    <w:p w:rsidR="00D559F6" w:rsidRPr="00D559F6" w:rsidRDefault="00D559F6" w:rsidP="00D559F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Только вакцинация способна защитить вашего ребенка от коклюша.</w:t>
      </w:r>
    </w:p>
    <w:p w:rsidR="00D559F6" w:rsidRPr="00D559F6" w:rsidRDefault="00D559F6" w:rsidP="00D559F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Отказ от вакцинации или пропуски прививок приводят к заболеванию коклюшем.</w:t>
      </w:r>
    </w:p>
    <w:p w:rsidR="00D559F6" w:rsidRPr="00D559F6" w:rsidRDefault="00D559F6" w:rsidP="00D559F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Если ребенок не может быть привит, проконсультируйтесь с врачом о необходимости сделать прививки вам, членам вашей семьи, другим лицам, которые тесно контактируют с малышом (стратегия кокона).</w:t>
      </w:r>
    </w:p>
    <w:p w:rsidR="00D559F6" w:rsidRPr="00D559F6" w:rsidRDefault="00D559F6" w:rsidP="00D559F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Если вы ждете ребенка, проконсультируйтесь с врачом о необходимости сделать </w:t>
      </w:r>
      <w:proofErr w:type="spellStart"/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бустерную</w:t>
      </w:r>
      <w:proofErr w:type="spellEnd"/>
      <w:r w:rsidRPr="00D559F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 прививку против коклюша</w:t>
      </w:r>
      <w:r w:rsidRPr="00D559F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D559F6" w:rsidRPr="00D559F6" w:rsidRDefault="00D559F6" w:rsidP="00D559F6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                               </w:t>
      </w:r>
      <w:hyperlink r:id="rId5" w:history="1">
        <w:r w:rsidRPr="00D559F6">
          <w:rPr>
            <w:rFonts w:ascii="inherit" w:eastAsia="Times New Roman" w:hAnsi="inherit" w:cs="Times New Roman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t>ССЫЛКА НА ИСТОЧНИК</w:t>
        </w:r>
      </w:hyperlink>
    </w:p>
    <w:p w:rsidR="001A09F7" w:rsidRDefault="001A09F7"/>
    <w:sectPr w:rsidR="001A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50"/>
    <w:rsid w:val="001A09F7"/>
    <w:rsid w:val="00C54D50"/>
    <w:rsid w:val="00D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BD7A"/>
  <w15:chartTrackingRefBased/>
  <w15:docId w15:val="{3BD22708-3B22-464B-B030-FC85B992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cheph.by/news/koklyush-sovremennye-aspekty-vaktsinoprofilaktiki.html" TargetMode="External"/><Relationship Id="rId4" Type="http://schemas.openxmlformats.org/officeDocument/2006/relationships/hyperlink" Target="https://rcheph.by/upload/documents/iom/2025/nac_calendar_privivok_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2025-08-20T07:48:00Z</dcterms:created>
  <dcterms:modified xsi:type="dcterms:W3CDTF">2025-08-20T07:50:00Z</dcterms:modified>
</cp:coreProperties>
</file>