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E4D" w:rsidRDefault="009F6FDB">
      <w:r>
        <w:rPr>
          <w:noProof/>
          <w:lang w:eastAsia="ru-RU"/>
        </w:rPr>
        <w:drawing>
          <wp:inline distT="0" distB="0" distL="0" distR="0" wp14:anchorId="5C1B86ED" wp14:editId="5C35D6EB">
            <wp:extent cx="8961120" cy="51752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6158" t="10053" r="3764" b="4498"/>
                    <a:stretch/>
                  </pic:blipFill>
                  <pic:spPr bwMode="auto">
                    <a:xfrm>
                      <a:off x="0" y="0"/>
                      <a:ext cx="8985316" cy="51892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E3E4D" w:rsidSect="009F6F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64C" w:rsidRDefault="0019564C" w:rsidP="009F6FDB">
      <w:pPr>
        <w:spacing w:after="0" w:line="240" w:lineRule="auto"/>
      </w:pPr>
      <w:r>
        <w:separator/>
      </w:r>
    </w:p>
  </w:endnote>
  <w:endnote w:type="continuationSeparator" w:id="0">
    <w:p w:rsidR="0019564C" w:rsidRDefault="0019564C" w:rsidP="009F6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64C" w:rsidRDefault="0019564C" w:rsidP="009F6FDB">
      <w:pPr>
        <w:spacing w:after="0" w:line="240" w:lineRule="auto"/>
      </w:pPr>
      <w:r>
        <w:separator/>
      </w:r>
    </w:p>
  </w:footnote>
  <w:footnote w:type="continuationSeparator" w:id="0">
    <w:p w:rsidR="0019564C" w:rsidRDefault="0019564C" w:rsidP="009F6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 w:rsidP="009F6FDB">
    <w:pPr>
      <w:pStyle w:val="a3"/>
      <w:spacing w:line="280" w:lineRule="exact"/>
      <w:jc w:val="center"/>
    </w:pPr>
    <w:r>
      <w:t xml:space="preserve">СХЕМА  </w:t>
    </w:r>
  </w:p>
  <w:p w:rsidR="009F6FDB" w:rsidRDefault="009F6FDB" w:rsidP="009F6FDB">
    <w:pPr>
      <w:pStyle w:val="a3"/>
      <w:spacing w:line="220" w:lineRule="exact"/>
      <w:jc w:val="center"/>
    </w:pPr>
    <w:r>
      <w:t>инвестиционной площадки № 1.</w:t>
    </w:r>
  </w:p>
  <w:p w:rsidR="009F6FDB" w:rsidRDefault="009F6FDB" w:rsidP="009F6FDB">
    <w:pPr>
      <w:pStyle w:val="a3"/>
      <w:spacing w:line="280" w:lineRule="exact"/>
      <w:jc w:val="center"/>
    </w:pPr>
    <w:r>
      <w:t>Организация добычи и переработки торфа.</w:t>
    </w:r>
  </w:p>
  <w:p w:rsidR="009F6FDB" w:rsidRDefault="009F6FDB" w:rsidP="009F6FDB">
    <w:pPr>
      <w:pStyle w:val="a3"/>
      <w:spacing w:line="280" w:lineRule="exact"/>
      <w:jc w:val="center"/>
    </w:pPr>
    <w:r>
      <w:t>Месторождение «</w:t>
    </w:r>
    <w:proofErr w:type="spellStart"/>
    <w:r>
      <w:t>Лосинники</w:t>
    </w:r>
    <w:proofErr w:type="spellEnd"/>
    <w:r>
      <w:t xml:space="preserve">» </w:t>
    </w:r>
    <w:proofErr w:type="spellStart"/>
    <w:r>
      <w:t>Ушачского</w:t>
    </w:r>
    <w:proofErr w:type="spellEnd"/>
    <w:r>
      <w:t xml:space="preserve"> района Витебской области (вблизи д. </w:t>
    </w:r>
    <w:r>
      <w:t xml:space="preserve">Двор-Жары </w:t>
    </w:r>
    <w:proofErr w:type="spellStart"/>
    <w:r>
      <w:t>Жарского</w:t>
    </w:r>
    <w:proofErr w:type="spellEnd"/>
    <w:r>
      <w:t xml:space="preserve"> сельсовета)</w:t>
    </w:r>
    <w:bookmarkStart w:id="0" w:name="_GoBack"/>
    <w:bookmarkEnd w:id="0"/>
    <w:r>
      <w:t xml:space="preserve"> </w:t>
    </w:r>
  </w:p>
  <w:p w:rsidR="009F6FDB" w:rsidRDefault="009F6FDB" w:rsidP="009F6FDB">
    <w:pPr>
      <w:pStyle w:val="a3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FDB" w:rsidRDefault="009F6FD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FDB"/>
    <w:rsid w:val="0019564C"/>
    <w:rsid w:val="009F6FDB"/>
    <w:rsid w:val="00DE3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26150"/>
  <w15:chartTrackingRefBased/>
  <w15:docId w15:val="{298A25FC-1075-4F8F-927B-DADDC685B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F6FDB"/>
  </w:style>
  <w:style w:type="paragraph" w:styleId="a5">
    <w:name w:val="footer"/>
    <w:basedOn w:val="a"/>
    <w:link w:val="a6"/>
    <w:uiPriority w:val="99"/>
    <w:unhideWhenUsed/>
    <w:rsid w:val="009F6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F6F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2025-04-18T13:42:00Z</dcterms:created>
  <dcterms:modified xsi:type="dcterms:W3CDTF">2025-04-18T13:50:00Z</dcterms:modified>
</cp:coreProperties>
</file>