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759" w:rsidRDefault="004B6759" w:rsidP="004B6759">
      <w:pPr>
        <w:spacing w:after="0" w:line="240" w:lineRule="auto"/>
        <w:textAlignment w:val="baseline"/>
        <w:outlineLvl w:val="0"/>
        <w:rPr>
          <w:rFonts w:ascii="inherit" w:eastAsia="Times New Roman" w:hAnsi="inherit" w:cs="Times New Roman"/>
          <w:color w:val="888888"/>
          <w:sz w:val="18"/>
          <w:szCs w:val="18"/>
          <w:u w:val="sing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             </w:t>
      </w:r>
      <w:r w:rsidRPr="004B6759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Здоровое питание</w:t>
      </w:r>
      <w:r>
        <w:rPr>
          <w:rFonts w:ascii="inherit" w:eastAsia="Times New Roman" w:hAnsi="inherit" w:cs="Times New Roman"/>
          <w:color w:val="888888"/>
          <w:sz w:val="18"/>
          <w:szCs w:val="18"/>
          <w:u w:val="single"/>
          <w:bdr w:val="none" w:sz="0" w:space="0" w:color="auto" w:frame="1"/>
          <w:lang w:eastAsia="ru-RU"/>
        </w:rPr>
        <w:t xml:space="preserve">           </w:t>
      </w:r>
    </w:p>
    <w:p w:rsidR="004B6759" w:rsidRPr="00D23DAE" w:rsidRDefault="00D23DAE" w:rsidP="004B6759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4"/>
          <w:szCs w:val="48"/>
          <w:lang w:eastAsia="ru-RU"/>
        </w:rPr>
      </w:pPr>
      <w:r>
        <w:rPr>
          <w:rFonts w:ascii="Arial" w:eastAsia="Times New Roman" w:hAnsi="Arial" w:cs="Arial"/>
          <w:color w:val="333333"/>
          <w:sz w:val="44"/>
          <w:szCs w:val="48"/>
          <w:lang w:eastAsia="ru-RU"/>
        </w:rPr>
        <w:t xml:space="preserve">                </w:t>
      </w:r>
      <w:bookmarkStart w:id="0" w:name="_GoBack"/>
      <w:bookmarkEnd w:id="0"/>
      <w:r w:rsidR="004B6759" w:rsidRPr="00D23DAE">
        <w:rPr>
          <w:rFonts w:ascii="Arial" w:eastAsia="Times New Roman" w:hAnsi="Arial" w:cs="Arial"/>
          <w:color w:val="333333"/>
          <w:sz w:val="44"/>
          <w:szCs w:val="48"/>
          <w:lang w:eastAsia="ru-RU"/>
        </w:rPr>
        <w:t>Основные факты</w:t>
      </w:r>
    </w:p>
    <w:p w:rsidR="004B6759" w:rsidRPr="004B6759" w:rsidRDefault="004B6759" w:rsidP="004B67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Питание играет ключевую роль в поддержании здоровья и благополучия человека и населения в целом, а нездоровое питание во многом способствует развитию заболеваний и инвалидности.</w:t>
      </w:r>
    </w:p>
    <w:p w:rsidR="004B6759" w:rsidRPr="004B6759" w:rsidRDefault="004B6759" w:rsidP="004B67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Сбалансированный рацион помогает защитить организм от любых проявлений неполноценного питания, а также от неинфекционных заболеваний (НИЗ), включая диабет, сердечно-сосудистые заболевания, инсульт и рак.</w:t>
      </w:r>
    </w:p>
    <w:p w:rsidR="004B6759" w:rsidRPr="004B6759" w:rsidRDefault="004B6759" w:rsidP="004B67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Навыки здорового питания формируются у человека с раннего возраста: так, грудное вскармливание помогает ребенку расти здоровым и стимулирует развитие когнитивных способностей.</w:t>
      </w:r>
    </w:p>
    <w:p w:rsidR="004B6759" w:rsidRPr="004B6759" w:rsidRDefault="004B6759" w:rsidP="004B67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Пищевые привычки и предпочтения, сформированные в детстве и подростковом возрасте, зачастую сохраняются и во взрослой жизни.</w:t>
      </w:r>
    </w:p>
    <w:p w:rsidR="004B6759" w:rsidRPr="004B6759" w:rsidRDefault="004B6759" w:rsidP="004B67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Здоровье питание может быть разным, но должно отвечать четырем основополагающим принципам: достаточность, сбалансированность, умеренность и разнообразие. </w:t>
      </w:r>
    </w:p>
    <w:p w:rsidR="004B6759" w:rsidRPr="004B6759" w:rsidRDefault="004B6759" w:rsidP="004B67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Здоровое питание предполагает также употребление безопасных пищевых продуктов, в которых не содержится вредных микробиологических и химических примесей. </w:t>
      </w:r>
    </w:p>
    <w:p w:rsidR="004B6759" w:rsidRPr="004B6759" w:rsidRDefault="004B6759" w:rsidP="004B67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Основу любого сбалансированного рациона составляют разнообразные натуральные и минимально переработанные пищевые продукты с низким содержанием вредных жиров, свободных сахаров и натрия.</w:t>
      </w:r>
    </w:p>
    <w:p w:rsidR="004B6759" w:rsidRPr="00D23DAE" w:rsidRDefault="00D23DAE" w:rsidP="004B6759">
      <w:pPr>
        <w:shd w:val="clear" w:color="auto" w:fill="FFFFFF"/>
        <w:spacing w:before="450" w:after="45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D23DA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pict>
          <v:rect id="_x0000_i1025" style="width:75pt;height:.75pt" o:hrpct="0" o:hralign="center" o:hrstd="t" o:hr="t" fillcolor="#a0a0a0" stroked="f"/>
        </w:pict>
      </w:r>
    </w:p>
    <w:p w:rsidR="004B6759" w:rsidRPr="00D23DAE" w:rsidRDefault="00D23DAE" w:rsidP="004B6759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44"/>
          <w:szCs w:val="48"/>
          <w:lang w:eastAsia="ru-RU"/>
        </w:rPr>
      </w:pPr>
      <w:r>
        <w:rPr>
          <w:rFonts w:ascii="Arial" w:eastAsia="Times New Roman" w:hAnsi="Arial" w:cs="Arial"/>
          <w:color w:val="333333"/>
          <w:sz w:val="44"/>
          <w:szCs w:val="48"/>
          <w:lang w:eastAsia="ru-RU"/>
        </w:rPr>
        <w:t xml:space="preserve">               </w:t>
      </w:r>
      <w:r w:rsidR="004B6759" w:rsidRPr="00D23DAE">
        <w:rPr>
          <w:rFonts w:ascii="Arial" w:eastAsia="Times New Roman" w:hAnsi="Arial" w:cs="Arial"/>
          <w:color w:val="333333"/>
          <w:sz w:val="44"/>
          <w:szCs w:val="48"/>
          <w:lang w:eastAsia="ru-RU"/>
        </w:rPr>
        <w:t>Общая информация</w:t>
      </w:r>
    </w:p>
    <w:p w:rsidR="004B6759" w:rsidRPr="004B6759" w:rsidRDefault="004B6759" w:rsidP="004B6759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Здоровое питание на протяжении всей жизни способствует профилактике любых проявлений неполноценного питания, а также целого ряда неинфекционных заболеваний (НИЗ) и нарушений здоровья. </w:t>
      </w:r>
    </w:p>
    <w:p w:rsidR="004B6759" w:rsidRPr="004B6759" w:rsidRDefault="004B6759" w:rsidP="004B6759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Вместе с тем эволюция пищевой промышленности и продовольственных систем, быстрая урбанизация и изменение образа жизни населения вызвали переход к новым моделям питания. Возросло потребление глубоко переработанной пищевой продукции с высоким содержанием вредных жиров, свободных сахаров и соли/натрия, при этом современный рацион нередко отличается недостатков фруктов и овощей, а также других источников пищевых волокон. </w:t>
      </w:r>
    </w:p>
    <w:p w:rsidR="004B6759" w:rsidRPr="004B6759" w:rsidRDefault="004B6759" w:rsidP="004B6759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Содержание разнообразного, сбалансированного и здорового рациона в каждом случае зависит от индивидуальных особенностей человека (таких как возраст, пол, образ жизни и степень физической активности), культурных традиций, местного ассортимента продуктов и сложившихся в обществе пищевых привычек. </w:t>
      </w:r>
    </w:p>
    <w:p w:rsidR="004B6759" w:rsidRPr="004B6759" w:rsidRDefault="004B6759" w:rsidP="004B6759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lastRenderedPageBreak/>
        <w:t>Неизменными при этом остаются четыре основополагающих принципа здорового питания, а именно: </w:t>
      </w:r>
    </w:p>
    <w:p w:rsidR="004B6759" w:rsidRPr="004B6759" w:rsidRDefault="004B6759" w:rsidP="004B675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b/>
          <w:bCs/>
          <w:color w:val="444444"/>
          <w:sz w:val="27"/>
          <w:szCs w:val="23"/>
          <w:bdr w:val="none" w:sz="0" w:space="0" w:color="auto" w:frame="1"/>
          <w:lang w:eastAsia="ru-RU"/>
        </w:rPr>
        <w:t>достаточность: </w:t>
      </w: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рацион удовлетворяет, но не превышает потребности организма в макро- и микронутриентах, предотвращая при этом дефицит любого из них; </w:t>
      </w:r>
    </w:p>
    <w:p w:rsidR="004B6759" w:rsidRPr="004B6759" w:rsidRDefault="004B6759" w:rsidP="004B675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b/>
          <w:bCs/>
          <w:color w:val="444444"/>
          <w:sz w:val="27"/>
          <w:szCs w:val="23"/>
          <w:bdr w:val="none" w:sz="0" w:space="0" w:color="auto" w:frame="1"/>
          <w:lang w:eastAsia="ru-RU"/>
        </w:rPr>
        <w:t>сбалансированность:</w:t>
      </w: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 xml:space="preserve"> общее потребление калорий соответствует </w:t>
      </w:r>
      <w:proofErr w:type="spellStart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энергозатратам</w:t>
      </w:r>
      <w:proofErr w:type="spellEnd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 xml:space="preserve"> организма при поддержании надлежащего соотношения между тремя основными источниками энергии – белками, жирами и углеводами;</w:t>
      </w:r>
    </w:p>
    <w:p w:rsidR="004B6759" w:rsidRPr="004B6759" w:rsidRDefault="004B6759" w:rsidP="004B675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b/>
          <w:bCs/>
          <w:color w:val="444444"/>
          <w:sz w:val="27"/>
          <w:szCs w:val="23"/>
          <w:bdr w:val="none" w:sz="0" w:space="0" w:color="auto" w:frame="1"/>
          <w:lang w:eastAsia="ru-RU"/>
        </w:rPr>
        <w:t>умеренность: </w:t>
      </w: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ограниченное потребление питательных веществ, ингредиентов и продуктов питания, которые могут наносить вред здоровью;</w:t>
      </w:r>
    </w:p>
    <w:p w:rsidR="004B6759" w:rsidRPr="004B6759" w:rsidRDefault="004B6759" w:rsidP="004B675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b/>
          <w:bCs/>
          <w:color w:val="444444"/>
          <w:sz w:val="27"/>
          <w:szCs w:val="23"/>
          <w:bdr w:val="none" w:sz="0" w:space="0" w:color="auto" w:frame="1"/>
          <w:lang w:eastAsia="ru-RU"/>
        </w:rPr>
        <w:t>разнообразие:</w:t>
      </w: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 включение в рацион широкого спектра калорийных продуктов питания в пределах каждой группы продуктов, а также за счет сочетания различных групп.</w:t>
      </w:r>
    </w:p>
    <w:p w:rsidR="004B6759" w:rsidRPr="004B6759" w:rsidRDefault="004B6759" w:rsidP="004B6759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Питание, отвечающее этим четырем базовым принципам, способствует поддержанию здоровья на протяжении всей жизни. </w:t>
      </w:r>
    </w:p>
    <w:p w:rsidR="004B6759" w:rsidRPr="00D23DAE" w:rsidRDefault="004B6759" w:rsidP="004B6759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44"/>
          <w:szCs w:val="48"/>
          <w:lang w:eastAsia="ru-RU"/>
        </w:rPr>
      </w:pPr>
      <w:r w:rsidRPr="00D23DAE">
        <w:rPr>
          <w:rFonts w:ascii="Arial" w:eastAsia="Times New Roman" w:hAnsi="Arial" w:cs="Arial"/>
          <w:color w:val="333333"/>
          <w:sz w:val="44"/>
          <w:szCs w:val="48"/>
          <w:lang w:eastAsia="ru-RU"/>
        </w:rPr>
        <w:t>Рекомендации ВОЗ по здоровому питанию </w:t>
      </w:r>
    </w:p>
    <w:p w:rsidR="004B6759" w:rsidRPr="004B6759" w:rsidRDefault="004B6759" w:rsidP="004B6759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333333"/>
          <w:sz w:val="48"/>
          <w:szCs w:val="42"/>
          <w:lang w:eastAsia="ru-RU"/>
        </w:rPr>
      </w:pPr>
      <w:r>
        <w:rPr>
          <w:rFonts w:ascii="Arial" w:eastAsia="Times New Roman" w:hAnsi="Arial" w:cs="Arial"/>
          <w:color w:val="333333"/>
          <w:sz w:val="48"/>
          <w:szCs w:val="42"/>
          <w:lang w:eastAsia="ru-RU"/>
        </w:rPr>
        <w:t xml:space="preserve">                      </w:t>
      </w:r>
      <w:r w:rsidRPr="00D23DAE">
        <w:rPr>
          <w:rFonts w:ascii="Arial" w:eastAsia="Times New Roman" w:hAnsi="Arial" w:cs="Arial"/>
          <w:color w:val="333333"/>
          <w:sz w:val="44"/>
          <w:szCs w:val="42"/>
          <w:lang w:eastAsia="ru-RU"/>
        </w:rPr>
        <w:t>Углеводы</w:t>
      </w:r>
    </w:p>
    <w:p w:rsidR="004B6759" w:rsidRPr="004B6759" w:rsidRDefault="004B6759" w:rsidP="004B6759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Углеводы служат основным источником энергии для организма. Содержание углеводов в рационе может быть различным: при лечении некоторых заболеваний применяются диеты с пониженной или очень низкой долей углеводов, однако у большинства людей разнообразные нерафинированные углеводы должны составлять значительную часть рациона – от 45% до 75% ежедневно потребляемой энергии.</w:t>
      </w:r>
    </w:p>
    <w:p w:rsidR="004B6759" w:rsidRPr="004B6759" w:rsidRDefault="004B6759" w:rsidP="004B67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 xml:space="preserve">Источниками углеводов должны служить преимущественно цельные злаки, овощи, фрукты и бобовые. Примерами цельных злаков служат </w:t>
      </w:r>
      <w:proofErr w:type="spellStart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непереработанная</w:t>
      </w:r>
      <w:proofErr w:type="spellEnd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 xml:space="preserve"> кукуруза, просо, овес, пшеница и неочищенный рис. К бобовым относятся чечевица, нут, фасоль и сушеный горох.</w:t>
      </w:r>
    </w:p>
    <w:p w:rsidR="004B6759" w:rsidRPr="004B6759" w:rsidRDefault="004B6759" w:rsidP="004B67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Прекрасными источниками углеводов являются свежие фрукты и овощи; приемлемы также их мороженные и консервированные аналоги, если они не содержат добавок сахара или избытка натрия. Допускается употребление фруктовых соков, однако большинство из них, в том числе неподслащенные соки, содержат значительное количество свободных сахаров, потребление которых следует ограничивать.</w:t>
      </w:r>
    </w:p>
    <w:p w:rsidR="004B6759" w:rsidRPr="004B6759" w:rsidRDefault="004B6759" w:rsidP="004B67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Всем лицам старше 10 лет рекомендуется потреблять не менее 400 г фруктов и овощей в день; для детей младше 10 лет предусмотрены сниженные нормы потребления, составляющие не менее 250 г. и не менее 350 г. для возрастных групп, соответственно, 2–5 и 6–9 лет. </w:t>
      </w:r>
    </w:p>
    <w:p w:rsidR="004B6759" w:rsidRPr="004B6759" w:rsidRDefault="004B6759" w:rsidP="004B6759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Лицам старше 10 лет следует также стремиться ежедневно потреблять в составе продуктов питания не менее 25 г. натуральных пищевых волокон; для возрастной группы младше 10 лет рекомендованы меньшие нормы потребления: не менее 15 г. для детей 2–5 лет и 21 г. для детей 6–9 лет.</w:t>
      </w:r>
    </w:p>
    <w:p w:rsidR="004B6759" w:rsidRPr="004B6759" w:rsidRDefault="004B6759" w:rsidP="004B6759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333333"/>
          <w:sz w:val="48"/>
          <w:szCs w:val="42"/>
          <w:lang w:eastAsia="ru-RU"/>
        </w:rPr>
      </w:pPr>
      <w:r>
        <w:rPr>
          <w:rFonts w:ascii="Arial" w:eastAsia="Times New Roman" w:hAnsi="Arial" w:cs="Arial"/>
          <w:color w:val="333333"/>
          <w:sz w:val="48"/>
          <w:szCs w:val="42"/>
          <w:lang w:eastAsia="ru-RU"/>
        </w:rPr>
        <w:t xml:space="preserve">                        </w:t>
      </w:r>
      <w:r w:rsidRPr="00D23DAE">
        <w:rPr>
          <w:rFonts w:ascii="Arial" w:eastAsia="Times New Roman" w:hAnsi="Arial" w:cs="Arial"/>
          <w:color w:val="333333"/>
          <w:sz w:val="44"/>
          <w:szCs w:val="42"/>
          <w:lang w:eastAsia="ru-RU"/>
        </w:rPr>
        <w:t xml:space="preserve"> Сахара</w:t>
      </w:r>
    </w:p>
    <w:p w:rsidR="004B6759" w:rsidRPr="004B6759" w:rsidRDefault="004B6759" w:rsidP="004B675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 Потребление свободных сахаров должно составлять менее 10% общего дневного потребления энергии: для человека с нормальной массой тела, ежедневно потребляющего около 2000 калорий, это примерно 50 г (приблизительно 12 чайных ложек без горки). Еще более полезным для здоровья может оказаться дополнительное ограничение этой доли до 5 и менее процентов общего дневного потребления энергии. </w:t>
      </w:r>
    </w:p>
    <w:p w:rsidR="004B6759" w:rsidRPr="004B6759" w:rsidRDefault="004B6759" w:rsidP="004B675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Потребление свободных сахаров следует ограничивать на всех этапах жизни. Свободные сахара включают моносахариды и дисахариды (в частности, сахарозу, фруктозу и глюкозу), добавляемые в продукты питания и напитки производителем, предприятием питания или потребителем, в также сахара, естественным образом присутствующие в меде, сиропах, фруктовых соках и их концентратах. </w:t>
      </w:r>
    </w:p>
    <w:p w:rsidR="004B6759" w:rsidRPr="004B6759" w:rsidRDefault="004B6759" w:rsidP="004B675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 xml:space="preserve">При сокращении (и поддержании на низком уровне) потребления свободных сахаров не следует прибегать к подсластителям без сахара. Типичными примерами таких подсластителей служат </w:t>
      </w:r>
      <w:proofErr w:type="spellStart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ацесульфам</w:t>
      </w:r>
      <w:proofErr w:type="spellEnd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 xml:space="preserve">, аспартам, </w:t>
      </w:r>
      <w:proofErr w:type="spellStart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адвантам</w:t>
      </w:r>
      <w:proofErr w:type="spellEnd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 xml:space="preserve">, </w:t>
      </w:r>
      <w:proofErr w:type="spellStart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цикламаты</w:t>
      </w:r>
      <w:proofErr w:type="spellEnd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 xml:space="preserve">, </w:t>
      </w:r>
      <w:proofErr w:type="spellStart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неотам</w:t>
      </w:r>
      <w:proofErr w:type="spellEnd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 xml:space="preserve">, сахарин, </w:t>
      </w:r>
      <w:proofErr w:type="spellStart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сукралоза</w:t>
      </w:r>
      <w:proofErr w:type="spellEnd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 xml:space="preserve">, </w:t>
      </w:r>
      <w:proofErr w:type="spellStart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стевия</w:t>
      </w:r>
      <w:proofErr w:type="spellEnd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 xml:space="preserve"> и ее производные.</w:t>
      </w:r>
    </w:p>
    <w:p w:rsidR="004B6759" w:rsidRPr="004B6759" w:rsidRDefault="004B6759" w:rsidP="004B6759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333333"/>
          <w:sz w:val="48"/>
          <w:szCs w:val="42"/>
          <w:lang w:eastAsia="ru-RU"/>
        </w:rPr>
      </w:pPr>
      <w:r>
        <w:rPr>
          <w:rFonts w:ascii="Arial" w:eastAsia="Times New Roman" w:hAnsi="Arial" w:cs="Arial"/>
          <w:color w:val="333333"/>
          <w:sz w:val="48"/>
          <w:szCs w:val="42"/>
          <w:lang w:eastAsia="ru-RU"/>
        </w:rPr>
        <w:t xml:space="preserve">                          </w:t>
      </w:r>
      <w:r w:rsidRPr="00D23DAE">
        <w:rPr>
          <w:rFonts w:ascii="Arial" w:eastAsia="Times New Roman" w:hAnsi="Arial" w:cs="Arial"/>
          <w:color w:val="333333"/>
          <w:sz w:val="44"/>
          <w:szCs w:val="42"/>
          <w:lang w:eastAsia="ru-RU"/>
        </w:rPr>
        <w:t xml:space="preserve"> Жиры</w:t>
      </w:r>
    </w:p>
    <w:p w:rsidR="004B6759" w:rsidRPr="004B6759" w:rsidRDefault="004B6759" w:rsidP="004B6759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Жир – необходимое питательное вещество, обеспечивающее правильное функционирование клеток организма; при этом две жирные кислоты – </w:t>
      </w:r>
      <w:proofErr w:type="spellStart"/>
      <w:r w:rsidRPr="004B6759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линолевая</w:t>
      </w:r>
      <w:proofErr w:type="spellEnd"/>
      <w:r w:rsidRPr="004B6759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и альфа-линоленовая – могут поступать только с пищей. Соответственно, у взрослых доля жиров должна составлять как минимум 15% ежедневно потребляемой энергии, а в описанных ниже случаях может быть доведена до 30 и более процентов общего суточного потребления калорий.</w:t>
      </w:r>
    </w:p>
    <w:p w:rsidR="004B6759" w:rsidRPr="004B6759" w:rsidRDefault="004B6759" w:rsidP="004B675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У взрослых сокращение общего потребления жиров до 30 и менее процентов общего ежедневного потребления энергии может способствовать предупреждению нездоровой прибавки веса. У детей и подростков ввиду специфических потребностей в энергии, необходимой для оптимального роста и развития, может быть приемлемым более высокое общее потребление жиров. </w:t>
      </w:r>
    </w:p>
    <w:p w:rsidR="004B6759" w:rsidRPr="004B6759" w:rsidRDefault="004B6759" w:rsidP="004B675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 xml:space="preserve">Важное значение имеет качество жиров в рационе. Предпочтение следует отдавать ненасыщенным жирам (содержащимся в рыбе, авокадо и орехах, а также в подсолнечном, соевом, рапсовом и оливковом масле) в отличие от насыщенных жиров (содержащихся в жирном мясе, сливочном масле, пальмовом и кокосовом масле, сливках, сыре, масле </w:t>
      </w:r>
      <w:proofErr w:type="spellStart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гхи</w:t>
      </w:r>
      <w:proofErr w:type="spellEnd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 xml:space="preserve"> и свином сале), а также всех трансизомеров жирных кислот, включая как </w:t>
      </w:r>
      <w:proofErr w:type="spellStart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трансжиры</w:t>
      </w:r>
      <w:proofErr w:type="spellEnd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 xml:space="preserve"> промышленного производства (содержащиеся в запеченных и жареных продуктах, заранее упакованных закусочных и других продуктах, таких как замороженные пиццы, пироги, печенье, вафли, кулинарные жиры и бутербродные смеси), так и </w:t>
      </w:r>
      <w:proofErr w:type="spellStart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трансжиры</w:t>
      </w:r>
      <w:proofErr w:type="spellEnd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 xml:space="preserve"> естественного происхождения (содержащиеся в мясной и молочной продукции, получаемой от жвачных животных, таких как коровы, овцы, козы и верблюды). </w:t>
      </w:r>
    </w:p>
    <w:p w:rsidR="004B6759" w:rsidRPr="004B6759" w:rsidRDefault="004B6759" w:rsidP="004B675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 xml:space="preserve">На долю насыщенных жиров должно приходиться не более 10%, а на долю </w:t>
      </w:r>
      <w:proofErr w:type="spellStart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трансжиров</w:t>
      </w:r>
      <w:proofErr w:type="spellEnd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 xml:space="preserve"> любого типа – не более 1% общего потребления энергии. Еще большее сокращение потребления насыщенных жиров и </w:t>
      </w:r>
      <w:proofErr w:type="spellStart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трансжиров</w:t>
      </w:r>
      <w:proofErr w:type="spellEnd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 xml:space="preserve"> может иметь дополнительные преимущества для здоровья. Насыщенные жиры и </w:t>
      </w:r>
      <w:proofErr w:type="spellStart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трансжиры</w:t>
      </w:r>
      <w:proofErr w:type="spellEnd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 xml:space="preserve"> можно заменить полиненасыщенными или мононенасыщенными жирами растительного происхождения. Заменой насыщенным жирам могут также служить углеводы в составе продуктов, содержащих натуральные пищевые волокна, – цельных злаков, фруктов, овощей и бобовых. Особенно следует избегать вредных для здоровья </w:t>
      </w:r>
      <w:proofErr w:type="spellStart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трансжиров</w:t>
      </w:r>
      <w:proofErr w:type="spellEnd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 xml:space="preserve"> промышленного производства.</w:t>
      </w:r>
    </w:p>
    <w:p w:rsidR="004B6759" w:rsidRPr="004B6759" w:rsidRDefault="004B6759" w:rsidP="004B675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 xml:space="preserve">Для сокращения потребления жиров, особенно насыщенных и </w:t>
      </w:r>
      <w:proofErr w:type="spellStart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трансжиров</w:t>
      </w:r>
      <w:proofErr w:type="spellEnd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 xml:space="preserve">, можно: отказаться от жареных блюд в пользу вареных и приготовленных на пару; вместо сливочного масла, свиного сала и масла </w:t>
      </w:r>
      <w:proofErr w:type="spellStart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гхи</w:t>
      </w:r>
      <w:proofErr w:type="spellEnd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 xml:space="preserve"> использовать богатые полиненасыщенными жирами растительные масла, такие как соевое, </w:t>
      </w:r>
      <w:proofErr w:type="spellStart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каноловое</w:t>
      </w:r>
      <w:proofErr w:type="spellEnd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 xml:space="preserve"> (рапсовое), кукурузное, </w:t>
      </w:r>
      <w:proofErr w:type="spellStart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сафлоровое</w:t>
      </w:r>
      <w:proofErr w:type="spellEnd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 xml:space="preserve"> и подсолнечное; отдавать предпочтение молочной продукции со сниженным содержанием жиров и постному мясу или обрезать видимый жир с мяса; и ограничить потребление выпечки и жареных продуктов, а также готовых снеков и других аналогичных изделий (например, пончиков, кексов, пирогов, печенья и вафель), содержащих </w:t>
      </w:r>
      <w:proofErr w:type="spellStart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трансжиры</w:t>
      </w:r>
      <w:proofErr w:type="spellEnd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 xml:space="preserve"> промышленного производства.</w:t>
      </w:r>
    </w:p>
    <w:p w:rsidR="004B6759" w:rsidRPr="004B6759" w:rsidRDefault="004B6759" w:rsidP="004B6759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333333"/>
          <w:sz w:val="48"/>
          <w:szCs w:val="42"/>
          <w:lang w:eastAsia="ru-RU"/>
        </w:rPr>
      </w:pPr>
      <w:r>
        <w:rPr>
          <w:rFonts w:ascii="Arial" w:eastAsia="Times New Roman" w:hAnsi="Arial" w:cs="Arial"/>
          <w:color w:val="333333"/>
          <w:sz w:val="48"/>
          <w:szCs w:val="42"/>
          <w:lang w:eastAsia="ru-RU"/>
        </w:rPr>
        <w:t xml:space="preserve">                             </w:t>
      </w:r>
      <w:r w:rsidRPr="00D23DAE">
        <w:rPr>
          <w:rFonts w:ascii="Arial" w:eastAsia="Times New Roman" w:hAnsi="Arial" w:cs="Arial"/>
          <w:color w:val="333333"/>
          <w:sz w:val="40"/>
          <w:szCs w:val="42"/>
          <w:lang w:eastAsia="ru-RU"/>
        </w:rPr>
        <w:t xml:space="preserve"> Белок</w:t>
      </w:r>
    </w:p>
    <w:p w:rsidR="004B6759" w:rsidRPr="004B6759" w:rsidRDefault="004B6759" w:rsidP="004B6759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Белки служат строительным материалом для многих важнейших органов и тканей, в частности мышечной ткани, а также молекул биологически активных веществ, таких как гормоны и ферменты. Для удовлетворения потребностей взрослого организма доля белков в рационе должна, как правило, составлять 10–15% общего дневного потребления энергии (примерно 50–75 г для лиц с нормальной массой тела, потребляющих около 2000 калорий в день).</w:t>
      </w:r>
    </w:p>
    <w:p w:rsidR="004B6759" w:rsidRPr="004B6759" w:rsidRDefault="004B6759" w:rsidP="004B675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Доля белка может превышать 15% общего дневного потребления энергии у подростков, а также спортсменов, бодибилдеров и других лиц, активно наращивающих и/или поддерживающих на высоком уровне объем мышечной массы. Чрезмерное потребление белка, однако, может создавать дополнительную метаболическую нагрузку на организм, особенно на почки. </w:t>
      </w:r>
    </w:p>
    <w:p w:rsidR="004B6759" w:rsidRPr="004B6759" w:rsidRDefault="004B6759" w:rsidP="004B675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 xml:space="preserve">Белок может поступать из продуктов животного и растительного происхождения. Следует также учитывать </w:t>
      </w:r>
      <w:proofErr w:type="spellStart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усваиваемость</w:t>
      </w:r>
      <w:proofErr w:type="spellEnd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 xml:space="preserve"> и качество белков, особенно потребляемых детьми и подростками. В некоторых случаях для снижения риска </w:t>
      </w:r>
      <w:proofErr w:type="spellStart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алиментарно</w:t>
      </w:r>
      <w:proofErr w:type="spellEnd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 xml:space="preserve"> обусловленных неинфекционных заболеваний у взрослых целесообразно увеличить долю растительных источников белка. В других случаях, особенно при организации питания детей и беременных или кормящих женщин, продукты животного происхождения сохраняют важное значение в рационе как источник необходимых питательных веществ.</w:t>
      </w:r>
    </w:p>
    <w:p w:rsidR="004B6759" w:rsidRPr="004B6759" w:rsidRDefault="004B6759" w:rsidP="004B6759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333333"/>
          <w:sz w:val="48"/>
          <w:szCs w:val="42"/>
          <w:lang w:eastAsia="ru-RU"/>
        </w:rPr>
      </w:pPr>
      <w:r>
        <w:rPr>
          <w:rFonts w:ascii="Arial" w:eastAsia="Times New Roman" w:hAnsi="Arial" w:cs="Arial"/>
          <w:color w:val="333333"/>
          <w:sz w:val="48"/>
          <w:szCs w:val="42"/>
          <w:lang w:eastAsia="ru-RU"/>
        </w:rPr>
        <w:t xml:space="preserve">            </w:t>
      </w:r>
      <w:r w:rsidRPr="00D23DAE">
        <w:rPr>
          <w:rFonts w:ascii="Arial" w:eastAsia="Times New Roman" w:hAnsi="Arial" w:cs="Arial"/>
          <w:color w:val="333333"/>
          <w:sz w:val="44"/>
          <w:szCs w:val="42"/>
          <w:lang w:eastAsia="ru-RU"/>
        </w:rPr>
        <w:t>Соль/натрий и калий</w:t>
      </w:r>
    </w:p>
    <w:p w:rsidR="004B6759" w:rsidRPr="004B6759" w:rsidRDefault="004B6759" w:rsidP="004B6759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Натрий и калий – жизненно важные минералы, однако избыточное потребление натрия (соли) способствует повышению артериального давления и может привести к развитию сердечно-сосудистых заболеваний. Высокое содержание соли в рационе характерно для многих стран мира и зачастую недооценивается потребителями. Калий обладает способностью уменьшать негативное воздействие чрезмерного потребления натрия на артериальное давление.</w:t>
      </w:r>
    </w:p>
    <w:p w:rsidR="004B6759" w:rsidRPr="004B6759" w:rsidRDefault="004B6759" w:rsidP="004B675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Во многих странах основное количество соли поступает в организм человека из переработанных продуктов (готовых блюд; мясопродуктов, таких как бекон, ветчина и салями; сыра; и соленых закусок) либо из пищевых продуктов, потребляемых часто и в больших количествах (например, хлеба). Соль также добавляют в пищу во время приготовления блюд (например, в составе бульона, бульонных кубиков, соевого и рыбного соуса) или во время еды (путем добавления столовой соли).</w:t>
      </w:r>
    </w:p>
    <w:p w:rsidR="004B6759" w:rsidRPr="004B6759" w:rsidRDefault="004B6759" w:rsidP="004B675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Потребление соли взрослыми должно составлять менее 5 г в день (2 г натрия в день). У детей максимально допустимое потребление натрия меньше и должно рассчитываться исходя из энергетических потребностей организма. </w:t>
      </w:r>
    </w:p>
    <w:p w:rsidR="004B6759" w:rsidRPr="004B6759" w:rsidRDefault="004B6759" w:rsidP="004B675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Потребление соли можно уменьшить, если при приготовлении пищи ограничивать количество соли и приправ с высоким содержанием натрия (</w:t>
      </w:r>
      <w:proofErr w:type="gramStart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например</w:t>
      </w:r>
      <w:proofErr w:type="gramEnd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 xml:space="preserve"> соевого и рыбного соуса, бульонных кубиков); не держать на обеденном столе солонку и соусы с высоким содержанием натрия; ограничить потребление соленых закусок; и выбирать продукты с пониженным содержанием натрия.</w:t>
      </w:r>
    </w:p>
    <w:p w:rsidR="004B6759" w:rsidRPr="004B6759" w:rsidRDefault="004B6759" w:rsidP="004B675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Желательная норма потребления калия у взрослых составляет не менее 90 </w:t>
      </w:r>
      <w:proofErr w:type="spellStart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ммоль</w:t>
      </w:r>
      <w:proofErr w:type="spellEnd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/день (3510 мг/день). У детей эта норма меньше и должна рассчитываться исходя из энергетических потребностей организма. Поступление калия в организм можно увеличить за счет свежих фруктов и овощей.</w:t>
      </w:r>
    </w:p>
    <w:p w:rsidR="004B6759" w:rsidRPr="004B6759" w:rsidRDefault="004B6759" w:rsidP="004B675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 xml:space="preserve">Альтернативой обычной поваренной соли являются заменители соли с пониженным содержанием натрия (ЗСПСН), в которых часть натрия обычно заменяется калием. Такие заменители потенциально помогают уменьшить потребление натрия лицами, не предрасположенными к </w:t>
      </w:r>
      <w:proofErr w:type="spellStart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гиперкалиемии</w:t>
      </w:r>
      <w:proofErr w:type="spellEnd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 xml:space="preserve"> (повышению уровня калия в крови), особенно в группах населения, для которых значимым источником натрия является добавление соли в блюда по усмотрению потребителя; сокращение натриевой составляющей за счет калия может, в свою очередь, способствовать уменьшению заболеваемости сердечно-сосудистыми патологиями. ВОЗ рекомендует применять данную меру в районах, в которых медицинские учреждения имеют возможности для своевременного выявления и лечения потенциальных заболеваний почек.</w:t>
      </w:r>
    </w:p>
    <w:p w:rsidR="004B6759" w:rsidRPr="004B6759" w:rsidRDefault="004B6759" w:rsidP="004B6759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333333"/>
          <w:sz w:val="48"/>
          <w:szCs w:val="42"/>
          <w:lang w:eastAsia="ru-RU"/>
        </w:rPr>
      </w:pPr>
      <w:r w:rsidRPr="00D23DAE">
        <w:rPr>
          <w:rFonts w:ascii="Arial" w:eastAsia="Times New Roman" w:hAnsi="Arial" w:cs="Arial"/>
          <w:color w:val="333333"/>
          <w:sz w:val="44"/>
          <w:szCs w:val="42"/>
          <w:lang w:eastAsia="ru-RU"/>
        </w:rPr>
        <w:t>Витамины и минералы (микроэлементы</w:t>
      </w:r>
      <w:r w:rsidRPr="004B6759">
        <w:rPr>
          <w:rFonts w:ascii="Arial" w:eastAsia="Times New Roman" w:hAnsi="Arial" w:cs="Arial"/>
          <w:color w:val="333333"/>
          <w:sz w:val="48"/>
          <w:szCs w:val="42"/>
          <w:lang w:eastAsia="ru-RU"/>
        </w:rPr>
        <w:t>) </w:t>
      </w:r>
    </w:p>
    <w:p w:rsidR="004B6759" w:rsidRPr="004B6759" w:rsidRDefault="004B6759" w:rsidP="004B6759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Микроэлементы (микронутриенты) – примерно 30 основных витаминов и минералов, включающих 13 витаминов (витамин А, группа витаминов В, витамины C, D, E и K) и 16 минералов (в том числе железо, йод, цинк и кальций) и необходимых организму в небольших количествах для нормального развития и функционирования. Нехватка этих веществ может приводить к серьезным проблемам со здоровьем, от анемии и цинги вплоть до когнитивных нарушений и врожденных пороков развития центральной нервной системы. Дефицит микроэлементов – широко распространенная проблема во всем мире: более половины детей младше пяти лет и более двух третей небеременных женщин репродуктивного возраста испытывают дефицит хотя бы одного из важнейших микроэлементов (обычно железа, цинка, витамина А или </w:t>
      </w:r>
      <w:proofErr w:type="spellStart"/>
      <w:r w:rsidRPr="004B6759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фолатов</w:t>
      </w:r>
      <w:proofErr w:type="spellEnd"/>
      <w:r w:rsidRPr="004B6759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).</w:t>
      </w:r>
    </w:p>
    <w:p w:rsidR="004B6759" w:rsidRPr="004B6759" w:rsidRDefault="004B6759" w:rsidP="004B675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Чтобы обеспечить достаточный уровень потребления основных витаминов и минералов, следует стимулировать включение в рацион населения разнообразных пищевых продуктов с высокой плотностью питательных веществ, включая фрукты, овощи, цельные злаки, бобовые, орехи, семена и нежирные продукты животного происхождения.</w:t>
      </w:r>
    </w:p>
    <w:p w:rsidR="004B6759" w:rsidRPr="004B6759" w:rsidRDefault="004B6759" w:rsidP="004B675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Следует содействовать регулярному потреблению богатых микроэлементами продуктов: фасоли и нежирного мяса для обеспечения потребностей в железе; темно-зеленых листовых овощей для повышения уровня витамина А; и йодированной соли во избежание дефицита йода. </w:t>
      </w:r>
    </w:p>
    <w:p w:rsidR="004B6759" w:rsidRPr="004B6759" w:rsidRDefault="004B6759" w:rsidP="004B675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В странах с высокой распространенностью дефицита микроэлементов (на уровне 20% и выше) национальные стратегии в области охраны здоровья населения должны предусматривать реализацию широкомасштабных программ по обогащению продуктов повседневного спроса и приправ (муки, риса, растительных масел, соли и сахара) важнейшими микроэлементами (железом, фолиевой кислотой, витамином А, йодом и цинком). </w:t>
      </w:r>
    </w:p>
    <w:p w:rsidR="004B6759" w:rsidRPr="00D23DAE" w:rsidRDefault="004B6759" w:rsidP="004B6759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333333"/>
          <w:sz w:val="44"/>
          <w:szCs w:val="42"/>
          <w:lang w:eastAsia="ru-RU"/>
        </w:rPr>
      </w:pPr>
      <w:r>
        <w:rPr>
          <w:rFonts w:ascii="Arial" w:eastAsia="Times New Roman" w:hAnsi="Arial" w:cs="Arial"/>
          <w:color w:val="333333"/>
          <w:sz w:val="48"/>
          <w:szCs w:val="42"/>
          <w:lang w:eastAsia="ru-RU"/>
        </w:rPr>
        <w:t xml:space="preserve">           </w:t>
      </w:r>
      <w:r w:rsidRPr="00D23DAE">
        <w:rPr>
          <w:rFonts w:ascii="Arial" w:eastAsia="Times New Roman" w:hAnsi="Arial" w:cs="Arial"/>
          <w:color w:val="333333"/>
          <w:sz w:val="44"/>
          <w:szCs w:val="42"/>
          <w:lang w:eastAsia="ru-RU"/>
        </w:rPr>
        <w:t>Выбор продуктов питания</w:t>
      </w:r>
    </w:p>
    <w:p w:rsidR="004B6759" w:rsidRPr="004B6759" w:rsidRDefault="004B6759" w:rsidP="004B6759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Разнообразие пищевых продуктов, в том числе фруктов, овощей, бобовых, цельных злаков и нежирных источников белка, является залогом здорового питания. Вариативный рацион, сочетающий широкий ассортимент продуктов и продуктовых групп, лучше удовлетворяет потребности населения в витаминах и минералах и уменьшает риск </w:t>
      </w:r>
      <w:proofErr w:type="spellStart"/>
      <w:r w:rsidRPr="004B6759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алиментарно</w:t>
      </w:r>
      <w:proofErr w:type="spellEnd"/>
      <w:r w:rsidRPr="004B6759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обусловленных неинфекционных заболеваний. Многим взрослым может быть полезно увеличить долю растительных источников белка в рационе, особенно за счет красного мяса. Рекомендуется ограничивать потребление продуктов с высоким содержанием вредных жиров, свободных сахаров и натрия. </w:t>
      </w:r>
    </w:p>
    <w:p w:rsidR="004B6759" w:rsidRPr="004B6759" w:rsidRDefault="004B6759" w:rsidP="004B6759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Потребление значительного количества </w:t>
      </w:r>
      <w:proofErr w:type="spellStart"/>
      <w:r w:rsidRPr="004B6759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ультрапереработанных</w:t>
      </w:r>
      <w:proofErr w:type="spellEnd"/>
      <w:r w:rsidRPr="004B6759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продуктов, которые часто содержат много натрия, сахаров или вредных жиров, также повышает риск негативных последствий для здоровья. </w:t>
      </w:r>
    </w:p>
    <w:p w:rsidR="004B6759" w:rsidRPr="00D23DAE" w:rsidRDefault="004B6759" w:rsidP="004B6759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333333"/>
          <w:sz w:val="44"/>
          <w:szCs w:val="42"/>
          <w:lang w:eastAsia="ru-RU"/>
        </w:rPr>
      </w:pPr>
      <w:r>
        <w:rPr>
          <w:rFonts w:ascii="Arial" w:eastAsia="Times New Roman" w:hAnsi="Arial" w:cs="Arial"/>
          <w:color w:val="333333"/>
          <w:sz w:val="48"/>
          <w:szCs w:val="42"/>
          <w:lang w:eastAsia="ru-RU"/>
        </w:rPr>
        <w:t xml:space="preserve">    </w:t>
      </w:r>
      <w:r w:rsidRPr="00D23DAE">
        <w:rPr>
          <w:rFonts w:ascii="Arial" w:eastAsia="Times New Roman" w:hAnsi="Arial" w:cs="Arial"/>
          <w:color w:val="333333"/>
          <w:sz w:val="44"/>
          <w:szCs w:val="42"/>
          <w:lang w:eastAsia="ru-RU"/>
        </w:rPr>
        <w:t>Дети грудного и раннего возраста</w:t>
      </w:r>
    </w:p>
    <w:p w:rsidR="004B6759" w:rsidRPr="004B6759" w:rsidRDefault="004B6759" w:rsidP="004B6759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Оптимальное питание в первые два года жизни способствует здоровому росту ребенка и стимулирует его когнитивное развитие. Оно также снижает риск избыточной массы тела и ожирения, а также развития НИЗ в последующей жизни.</w:t>
      </w:r>
    </w:p>
    <w:p w:rsidR="004B6759" w:rsidRPr="004B6759" w:rsidRDefault="004B6759" w:rsidP="004B6759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Рекомендации по здоровому питанию младенцев и детей аналогичны рекомендациям для взрослых, но со следующими важными оговорками:</w:t>
      </w:r>
    </w:p>
    <w:p w:rsidR="004B6759" w:rsidRPr="004B6759" w:rsidRDefault="004B6759" w:rsidP="004B675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в течение первых шести месяцев жизни младенцам показано исключительно грудное вскармливание;</w:t>
      </w:r>
    </w:p>
    <w:p w:rsidR="004B6759" w:rsidRPr="004B6759" w:rsidRDefault="004B6759" w:rsidP="004B675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грудное вскармливание необходимо продолжать в течение первых двух или более лет жизни;</w:t>
      </w:r>
    </w:p>
    <w:p w:rsidR="004B6759" w:rsidRPr="004B6759" w:rsidRDefault="004B6759" w:rsidP="004B675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с шестимесячного возраста грудное молоко необходимо дополнять правильно подобранным прикормом, состоящим из различных безопасных продуктов с высокой плотностью питательных веществ; в прикорм не следует добавлять соль и сахар;</w:t>
      </w:r>
    </w:p>
    <w:p w:rsidR="004B6759" w:rsidRPr="004B6759" w:rsidRDefault="004B6759" w:rsidP="004B675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младенцам и детям в возрасте от шести до 23 месяцев показан разнообразный рацион, включающий продукты животного происхождения, такие как мясо, рыба или яйца, а также фрукты и овощи;</w:t>
      </w:r>
    </w:p>
    <w:p w:rsidR="004B6759" w:rsidRPr="004B6759" w:rsidRDefault="004B6759" w:rsidP="004B675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следует сводить к минимуму содержание крахмалистых продуктов в основном рационе ребенка; и</w:t>
      </w:r>
    </w:p>
    <w:p w:rsidR="004B6759" w:rsidRPr="004B6759" w:rsidRDefault="004B6759" w:rsidP="004B675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 xml:space="preserve">следует избегать продуктов с высоким содержанием сахаров, соли и </w:t>
      </w:r>
      <w:proofErr w:type="spellStart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трансжиров</w:t>
      </w:r>
      <w:proofErr w:type="spellEnd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, а также сладких напитков. </w:t>
      </w:r>
    </w:p>
    <w:p w:rsidR="004B6759" w:rsidRPr="00D23DAE" w:rsidRDefault="004B6759" w:rsidP="004B6759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44"/>
          <w:szCs w:val="48"/>
          <w:lang w:eastAsia="ru-RU"/>
        </w:rPr>
      </w:pPr>
      <w:r w:rsidRPr="00D23DAE">
        <w:rPr>
          <w:rFonts w:ascii="Arial" w:eastAsia="Times New Roman" w:hAnsi="Arial" w:cs="Arial"/>
          <w:color w:val="333333"/>
          <w:sz w:val="44"/>
          <w:szCs w:val="48"/>
          <w:lang w:eastAsia="ru-RU"/>
        </w:rPr>
        <w:t>Меры содействия здоровому питанию</w:t>
      </w:r>
    </w:p>
    <w:p w:rsidR="004B6759" w:rsidRPr="004B6759" w:rsidRDefault="004B6759" w:rsidP="004B6759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Рацион питания меняется со временем под влиянием многих социальных и экономических факторов, которые сложным образом взаимодействуют между собой и определяют индивидуальные модели питания. Эти факторы включают доходы, цены на продовольствие (от которых зависит объем поставок и ценовая доступность полезных для здоровья продуктов), индивидуальные предпочтения и представления, культурные традиции, а также географические и экологические аспекты (включая изменение климата). Поэтому формирование благоприятной для здоровья продовольственной среды, способствующей разнообразному, сбалансированному и рациональному питанию, требует участия целого ряда секторов и заинтересованных сторон, включая правительство, а также государственные и частные структуры.</w:t>
      </w:r>
    </w:p>
    <w:p w:rsidR="004B6759" w:rsidRPr="004B6759" w:rsidRDefault="004B6759" w:rsidP="004B6759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Основная роль в создании благоприятной продовольственной среды, позволяющей гражданам осваивать и поддерживать навыки здорового питания, принадлежит правительствам. Для этого директивные органы могут реализовать целый ряд научно обоснованных и экономически эффективных мер и рекомендованных направлений политики, включая:</w:t>
      </w:r>
    </w:p>
    <w:p w:rsidR="004B6759" w:rsidRPr="004B6759" w:rsidRDefault="004B6759" w:rsidP="004B675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обеспечение согласованности различных направлений национальной политики и инвестиционно-бюджетных планов, в том числе в области здравоохранения, продовольствия и сельского хозяйства, образования, налогообложения и торговли, в целях содействия здоровому питанию и защиты здоровья населения при помощи следующих механизмов:</w:t>
      </w:r>
    </w:p>
    <w:p w:rsidR="004B6759" w:rsidRPr="004B6759" w:rsidRDefault="004B6759" w:rsidP="004B6759">
      <w:pPr>
        <w:numPr>
          <w:ilvl w:val="1"/>
          <w:numId w:val="10"/>
        </w:numPr>
        <w:shd w:val="clear" w:color="auto" w:fill="FFFFFF"/>
        <w:spacing w:after="0" w:line="240" w:lineRule="auto"/>
        <w:ind w:left="15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расширение стимулов (в том числе субсидий), побуждающих производителей и торгово-розничные предприятия выращивать, использовать в качестве сырья и реализовать свежую плодоовощную продукцию;</w:t>
      </w:r>
    </w:p>
    <w:p w:rsidR="004B6759" w:rsidRPr="004B6759" w:rsidRDefault="004B6759" w:rsidP="004B6759">
      <w:pPr>
        <w:numPr>
          <w:ilvl w:val="1"/>
          <w:numId w:val="10"/>
        </w:numPr>
        <w:shd w:val="clear" w:color="auto" w:fill="FFFFFF"/>
        <w:spacing w:after="0" w:line="240" w:lineRule="auto"/>
        <w:ind w:left="15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 xml:space="preserve">введение налогов и </w:t>
      </w:r>
      <w:proofErr w:type="spellStart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дестимулирующих</w:t>
      </w:r>
      <w:proofErr w:type="spellEnd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 xml:space="preserve"> мер, направленных на сокращение промышленного производства переработанных продуктов питания с высоким содержанием насыщенных жиров, </w:t>
      </w:r>
      <w:proofErr w:type="spellStart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трансжиров</w:t>
      </w:r>
      <w:proofErr w:type="spellEnd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, свободных сахаров и соли/натрия;</w:t>
      </w:r>
    </w:p>
    <w:p w:rsidR="004B6759" w:rsidRPr="004B6759" w:rsidRDefault="004B6759" w:rsidP="004B6759">
      <w:pPr>
        <w:numPr>
          <w:ilvl w:val="1"/>
          <w:numId w:val="10"/>
        </w:numPr>
        <w:shd w:val="clear" w:color="auto" w:fill="FFFFFF"/>
        <w:spacing w:after="0" w:line="240" w:lineRule="auto"/>
        <w:ind w:left="15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 xml:space="preserve">поощрение практики изменения состава пищевых продуктов для уменьшения доли насыщенных жиров, </w:t>
      </w:r>
      <w:proofErr w:type="spellStart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трансжиров</w:t>
      </w:r>
      <w:proofErr w:type="spellEnd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 xml:space="preserve">, свободных сахаров и соли/натрия, а также дальнейшего отказа от использования </w:t>
      </w:r>
      <w:proofErr w:type="spellStart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трансжиров</w:t>
      </w:r>
      <w:proofErr w:type="spellEnd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 xml:space="preserve"> промышленного производства;</w:t>
      </w:r>
    </w:p>
    <w:p w:rsidR="004B6759" w:rsidRPr="004B6759" w:rsidRDefault="004B6759" w:rsidP="004B6759">
      <w:pPr>
        <w:numPr>
          <w:ilvl w:val="1"/>
          <w:numId w:val="10"/>
        </w:numPr>
        <w:shd w:val="clear" w:color="auto" w:fill="FFFFFF"/>
        <w:spacing w:after="0" w:line="240" w:lineRule="auto"/>
        <w:ind w:left="15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введение обязательных требований по защите детей от маркетинга вредных пищевых продуктов;</w:t>
      </w:r>
    </w:p>
    <w:p w:rsidR="004B6759" w:rsidRPr="004B6759" w:rsidRDefault="004B6759" w:rsidP="004B6759">
      <w:pPr>
        <w:numPr>
          <w:ilvl w:val="1"/>
          <w:numId w:val="10"/>
        </w:numPr>
        <w:shd w:val="clear" w:color="auto" w:fill="FFFFFF"/>
        <w:spacing w:after="0" w:line="240" w:lineRule="auto"/>
        <w:ind w:left="15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ввод в действие стандартов оздоровления питания, направленных на обеспечение здоровыми, калорийными, безопасными и недорогими продуктами питания дошкольных учреждений, школ, других государственных учреждений и мест работы; и</w:t>
      </w:r>
    </w:p>
    <w:p w:rsidR="004B6759" w:rsidRPr="004B6759" w:rsidRDefault="004B6759" w:rsidP="004B6759">
      <w:pPr>
        <w:numPr>
          <w:ilvl w:val="1"/>
          <w:numId w:val="10"/>
        </w:numPr>
        <w:shd w:val="clear" w:color="auto" w:fill="FFFFFF"/>
        <w:spacing w:after="0" w:line="240" w:lineRule="auto"/>
        <w:ind w:left="15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 xml:space="preserve">взаимодействие с транснациональными, национальными и </w:t>
      </w:r>
      <w:proofErr w:type="gramStart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местными сервисными компаниями</w:t>
      </w:r>
      <w:proofErr w:type="gramEnd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 xml:space="preserve"> и предприятиями общественного питания в целях улучшения питательных свойств предлагаемой ими продукции, вывода на рынок доступных и недорогих вариантов здорового питания и корректировки порций и стоимости блюд;</w:t>
      </w:r>
    </w:p>
    <w:p w:rsidR="004B6759" w:rsidRPr="004B6759" w:rsidRDefault="004B6759" w:rsidP="004B675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стимулирование потребительского спроса на здоровые пищевые продукты и блюда путем:</w:t>
      </w:r>
    </w:p>
    <w:p w:rsidR="004B6759" w:rsidRPr="004B6759" w:rsidRDefault="004B6759" w:rsidP="004B6759">
      <w:pPr>
        <w:numPr>
          <w:ilvl w:val="1"/>
          <w:numId w:val="10"/>
        </w:numPr>
        <w:shd w:val="clear" w:color="auto" w:fill="FFFFFF"/>
        <w:spacing w:after="0" w:line="240" w:lineRule="auto"/>
        <w:ind w:left="15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повышения осведомленности потребителей о здоровом питании;</w:t>
      </w:r>
    </w:p>
    <w:p w:rsidR="004B6759" w:rsidRPr="004B6759" w:rsidRDefault="004B6759" w:rsidP="004B6759">
      <w:pPr>
        <w:numPr>
          <w:ilvl w:val="1"/>
          <w:numId w:val="10"/>
        </w:numPr>
        <w:shd w:val="clear" w:color="auto" w:fill="FFFFFF"/>
        <w:spacing w:after="0" w:line="240" w:lineRule="auto"/>
        <w:ind w:left="15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разработки школьных стратегий и программ, направленных на формирование и закрепление навыков здорового питания у детей;</w:t>
      </w:r>
    </w:p>
    <w:p w:rsidR="004B6759" w:rsidRPr="004B6759" w:rsidRDefault="004B6759" w:rsidP="004B6759">
      <w:pPr>
        <w:numPr>
          <w:ilvl w:val="1"/>
          <w:numId w:val="10"/>
        </w:numPr>
        <w:shd w:val="clear" w:color="auto" w:fill="FFFFFF"/>
        <w:spacing w:after="0" w:line="240" w:lineRule="auto"/>
        <w:ind w:left="15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реализации мер поведенческого регулирования – целенаправленной корректировки вариантов потребительского поведения, в том числе представления, позиционирования и ценовой доступности предлагаемых продуктов питания, а также контекста их выбора потребителями; </w:t>
      </w:r>
    </w:p>
    <w:p w:rsidR="004B6759" w:rsidRPr="004B6759" w:rsidRDefault="004B6759" w:rsidP="004B6759">
      <w:pPr>
        <w:numPr>
          <w:ilvl w:val="1"/>
          <w:numId w:val="10"/>
        </w:numPr>
        <w:shd w:val="clear" w:color="auto" w:fill="FFFFFF"/>
        <w:spacing w:after="0" w:line="240" w:lineRule="auto"/>
        <w:ind w:left="15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разъяснительной работы с детьми, подростками и взрослыми по вопросам питания и здоровых пищевых привычек;</w:t>
      </w:r>
    </w:p>
    <w:p w:rsidR="004B6759" w:rsidRPr="004B6759" w:rsidRDefault="004B6759" w:rsidP="004B6759">
      <w:pPr>
        <w:numPr>
          <w:ilvl w:val="1"/>
          <w:numId w:val="10"/>
        </w:numPr>
        <w:shd w:val="clear" w:color="auto" w:fill="FFFFFF"/>
        <w:spacing w:after="0" w:line="240" w:lineRule="auto"/>
        <w:ind w:left="15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содействия развитию кулинарных навыков, в том числе у детей в ходе обучения в школе;</w:t>
      </w:r>
    </w:p>
    <w:p w:rsidR="004B6759" w:rsidRPr="004B6759" w:rsidRDefault="004B6759" w:rsidP="004B6759">
      <w:pPr>
        <w:numPr>
          <w:ilvl w:val="1"/>
          <w:numId w:val="10"/>
        </w:numPr>
        <w:shd w:val="clear" w:color="auto" w:fill="FFFFFF"/>
        <w:spacing w:after="0" w:line="240" w:lineRule="auto"/>
        <w:ind w:left="15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 xml:space="preserve">размещения информации для потребителей в местах реализации пищевой продукции, в том числе в виде стандартной маркировки, содержащей точные и полные сведения о содержании питательных веществ (в соответствии с руководящими принципами Комиссии Кодекс </w:t>
      </w:r>
      <w:proofErr w:type="spellStart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Алиментариус</w:t>
      </w:r>
      <w:proofErr w:type="spellEnd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);</w:t>
      </w:r>
    </w:p>
    <w:p w:rsidR="004B6759" w:rsidRPr="004B6759" w:rsidRDefault="004B6759" w:rsidP="004B6759">
      <w:pPr>
        <w:numPr>
          <w:ilvl w:val="1"/>
          <w:numId w:val="10"/>
        </w:numPr>
        <w:shd w:val="clear" w:color="auto" w:fill="FFFFFF"/>
        <w:spacing w:after="0" w:line="240" w:lineRule="auto"/>
        <w:ind w:left="15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нанесения на лицевую сторону упаковки пояснительной маркировки для удобства потребителей; и</w:t>
      </w:r>
    </w:p>
    <w:p w:rsidR="004B6759" w:rsidRPr="004B6759" w:rsidRDefault="004B6759" w:rsidP="004B6759">
      <w:pPr>
        <w:numPr>
          <w:ilvl w:val="1"/>
          <w:numId w:val="10"/>
        </w:numPr>
        <w:shd w:val="clear" w:color="auto" w:fill="FFFFFF"/>
        <w:spacing w:after="0" w:line="240" w:lineRule="auto"/>
        <w:ind w:left="15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организации консультативной помощи по вопросам питания в учреждениях первичной медико-санитарной помощи;</w:t>
      </w:r>
    </w:p>
    <w:p w:rsidR="004B6759" w:rsidRPr="004B6759" w:rsidRDefault="004B6759" w:rsidP="004B675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содействие применению надлежащих методов кормления младенцев и детей младшего возраста путем:</w:t>
      </w:r>
    </w:p>
    <w:p w:rsidR="004B6759" w:rsidRPr="004B6759" w:rsidRDefault="004B6759" w:rsidP="004B6759">
      <w:pPr>
        <w:numPr>
          <w:ilvl w:val="1"/>
          <w:numId w:val="10"/>
        </w:numPr>
        <w:shd w:val="clear" w:color="auto" w:fill="FFFFFF"/>
        <w:spacing w:after="0" w:line="240" w:lineRule="auto"/>
        <w:ind w:left="15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осуществления Международного свода правил сбыта заменителей грудного молока и последующих резолюций Всемирной ассамблеи здравоохранения по этому вопросу;</w:t>
      </w:r>
    </w:p>
    <w:p w:rsidR="004B6759" w:rsidRPr="004B6759" w:rsidRDefault="004B6759" w:rsidP="004B6759">
      <w:pPr>
        <w:numPr>
          <w:ilvl w:val="1"/>
          <w:numId w:val="10"/>
        </w:numPr>
        <w:shd w:val="clear" w:color="auto" w:fill="FFFFFF"/>
        <w:spacing w:after="0" w:line="240" w:lineRule="auto"/>
        <w:ind w:left="15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реализации политики и практических мер по защите работающих матерей; </w:t>
      </w:r>
    </w:p>
    <w:p w:rsidR="004B6759" w:rsidRPr="004B6759" w:rsidRDefault="004B6759" w:rsidP="004B6759">
      <w:pPr>
        <w:numPr>
          <w:ilvl w:val="1"/>
          <w:numId w:val="10"/>
        </w:numPr>
        <w:shd w:val="clear" w:color="auto" w:fill="FFFFFF"/>
        <w:spacing w:after="0" w:line="240" w:lineRule="auto"/>
        <w:ind w:left="15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обеспечения женщин во время беременности и первые два года жизни ребенка качественной консультативной помощью по вопросам кормления младенцев и детей младшего возраста; и</w:t>
      </w:r>
    </w:p>
    <w:p w:rsidR="004B6759" w:rsidRPr="004B6759" w:rsidRDefault="004B6759" w:rsidP="004B6759">
      <w:pPr>
        <w:numPr>
          <w:ilvl w:val="1"/>
          <w:numId w:val="10"/>
        </w:numPr>
        <w:shd w:val="clear" w:color="auto" w:fill="FFFFFF"/>
        <w:spacing w:after="0" w:line="240" w:lineRule="auto"/>
        <w:ind w:left="15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продвижения, защиты и поддержки грудного вскармливания в медицинских и социальных учреждениях, в том числе в рамках Инициативы по созданию в больницах благоприятных условий для грудного вскармливания.</w:t>
      </w:r>
    </w:p>
    <w:p w:rsidR="004B6759" w:rsidRPr="00D23DAE" w:rsidRDefault="004B6759" w:rsidP="004B6759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40"/>
          <w:szCs w:val="48"/>
          <w:lang w:eastAsia="ru-RU"/>
        </w:rPr>
      </w:pPr>
      <w:r w:rsidRPr="00D23DAE">
        <w:rPr>
          <w:rFonts w:ascii="Arial" w:eastAsia="Times New Roman" w:hAnsi="Arial" w:cs="Arial"/>
          <w:color w:val="333333"/>
          <w:sz w:val="40"/>
          <w:szCs w:val="48"/>
          <w:lang w:eastAsia="ru-RU"/>
        </w:rPr>
        <w:t>Деятельность ВОЗ</w:t>
      </w:r>
    </w:p>
    <w:p w:rsidR="004B6759" w:rsidRPr="004B6759" w:rsidRDefault="004B6759" w:rsidP="004B6759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ВОЗ осуществляет деятельность по повышению доступности и качества питания в соответствии с поручениями государств-членов, изложенными в резолюциях Всемирной организации здравоохранения и Генеральной Ассамблеи Организации Объединенных Наций (ГА ООН), Эта работа была активизирована с принятием в 2004 г. Глобальной стратегии ВОЗ по питанию, физической активности и здоровью, которая содержала призыв к правительствам, гражданскому обществу, частному сектору и ВОЗ координировать усилия по стимулированию здорового питания и физической активности. </w:t>
      </w:r>
    </w:p>
    <w:p w:rsidR="004B6759" w:rsidRPr="004B6759" w:rsidRDefault="004B6759" w:rsidP="004B6759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Принятые впоследствии дополнительные резолюции, в том числе о Комплексном плане осуществления действий в области питания матерей, а также детей грудного и раннего возраста, и поставленные в Плане глобальные цели определили три основных направления ВОЗ в этой области:</w:t>
      </w:r>
    </w:p>
    <w:p w:rsidR="004B6759" w:rsidRPr="004B6759" w:rsidRDefault="004B6759" w:rsidP="004B675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действия по достижению поставленных целей; </w:t>
      </w:r>
    </w:p>
    <w:p w:rsidR="004B6759" w:rsidRPr="004B6759" w:rsidRDefault="004B6759" w:rsidP="004B675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защита населения вредных компонентов пищевой продукции и практики их коммерческого сбыта; и</w:t>
      </w:r>
    </w:p>
    <w:p w:rsidR="004B6759" w:rsidRPr="004B6759" w:rsidRDefault="004B6759" w:rsidP="004B675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proofErr w:type="spellStart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многосекторальные</w:t>
      </w:r>
      <w:proofErr w:type="spellEnd"/>
      <w:r w:rsidRPr="004B6759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 xml:space="preserve"> действия в рамках различных систем.</w:t>
      </w:r>
    </w:p>
    <w:p w:rsidR="004B6759" w:rsidRPr="004B6759" w:rsidRDefault="004B6759" w:rsidP="004B6759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4B6759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В совокупности эти резолюции накладывают на ВОЗ обязательство содействовать всем странам в обеспечении каждому человеку, где бы он ни находился, возможности получать здоровое, безопасное и доступное по цене питание на протяжении всей жизни.</w:t>
      </w:r>
    </w:p>
    <w:p w:rsidR="004B6759" w:rsidRPr="004B6759" w:rsidRDefault="004B6759" w:rsidP="004B675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4B6759">
        <w:rPr>
          <w:rFonts w:ascii="inherit" w:eastAsia="Times New Roman" w:hAnsi="inherit" w:cs="Times New Roman"/>
          <w:b/>
          <w:bCs/>
          <w:color w:val="444444"/>
          <w:sz w:val="28"/>
          <w:szCs w:val="24"/>
          <w:bdr w:val="none" w:sz="0" w:space="0" w:color="auto" w:frame="1"/>
          <w:lang w:eastAsia="ru-RU"/>
        </w:rPr>
        <w:t>1. Формирование доказательной базы: рекомендации и руководства, стандарты и методики</w:t>
      </w:r>
      <w:r w:rsidRPr="004B6759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br/>
        <w:t xml:space="preserve">Для выполнения этих задач ВОЗ привлекает данные </w:t>
      </w:r>
      <w:proofErr w:type="spellStart"/>
      <w:r w:rsidRPr="004B6759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нутрициологии</w:t>
      </w:r>
      <w:proofErr w:type="spellEnd"/>
      <w:r w:rsidRPr="004B6759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для разработки научно обоснованных практических руководств. За последнее десятилетие она выпустила более 15 руководств, в том числе с рекомендациями по сокращению потребления соли, сахаров и вредных жиров; отказу от использования промышленно производимых </w:t>
      </w:r>
      <w:proofErr w:type="spellStart"/>
      <w:r w:rsidRPr="004B6759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трансжиров</w:t>
      </w:r>
      <w:proofErr w:type="spellEnd"/>
      <w:r w:rsidRPr="004B6759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; повышению качества прикорма младенцев; поддержке грудного вскармливания и многим другим вопросам.</w:t>
      </w:r>
    </w:p>
    <w:p w:rsidR="004B6759" w:rsidRPr="004B6759" w:rsidRDefault="004B6759" w:rsidP="004B675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4B6759">
        <w:rPr>
          <w:rFonts w:ascii="inherit" w:eastAsia="Times New Roman" w:hAnsi="inherit" w:cs="Times New Roman"/>
          <w:b/>
          <w:bCs/>
          <w:color w:val="444444"/>
          <w:sz w:val="28"/>
          <w:szCs w:val="24"/>
          <w:bdr w:val="none" w:sz="0" w:space="0" w:color="auto" w:frame="1"/>
          <w:lang w:eastAsia="ru-RU"/>
        </w:rPr>
        <w:t>2. Поддержка действий: от доказательств – к результатам</w:t>
      </w:r>
      <w:r w:rsidRPr="004B6759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br/>
        <w:t xml:space="preserve">ВОЗ реализует целый ряд инициатив для содействия странам в выполнении указанных рекомендаций. Комплекс мер REPLACE представляет собой дорожную карту по прекращению использования промышленно производимых </w:t>
      </w:r>
      <w:proofErr w:type="spellStart"/>
      <w:r w:rsidRPr="004B6759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трансжиров</w:t>
      </w:r>
      <w:proofErr w:type="spellEnd"/>
      <w:r w:rsidRPr="004B6759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, которая уже помогла защитить от их воздействия более 50% мирового населения. ВОЗ также выступает </w:t>
      </w:r>
      <w:proofErr w:type="spellStart"/>
      <w:r w:rsidRPr="004B6759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соорганизатором</w:t>
      </w:r>
      <w:proofErr w:type="spellEnd"/>
      <w:r w:rsidRPr="004B6759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масштабных международных инициатив, призванных содействовать странам в разработке национальных дорожных карт и укреплении первичной медико-санитарной помощи, в том числе в рамках Глобального плана действий по борьбе с истощением детей, Рамочной программы действий по ускорению сокращения масштабов анемии и Плана по ускорению мер по борьбе с ожирением.</w:t>
      </w:r>
    </w:p>
    <w:p w:rsidR="004B6759" w:rsidRPr="004B6759" w:rsidRDefault="004B6759" w:rsidP="004B675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4B6759">
        <w:rPr>
          <w:rFonts w:ascii="inherit" w:eastAsia="Times New Roman" w:hAnsi="inherit" w:cs="Times New Roman"/>
          <w:b/>
          <w:bCs/>
          <w:color w:val="444444"/>
          <w:sz w:val="28"/>
          <w:szCs w:val="24"/>
          <w:bdr w:val="none" w:sz="0" w:space="0" w:color="auto" w:frame="1"/>
          <w:lang w:eastAsia="ru-RU"/>
        </w:rPr>
        <w:t>3. Мониторинг прогресса: сбор данных для обеспечения подотчетности</w:t>
      </w:r>
      <w:r w:rsidRPr="004B6759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br/>
        <w:t>ВОЗ осуществляет сотрудничество с ФАО, ЮНИСЕФ и партнерскими академическими структурами в целях более эффективного мониторинга моделей питания и продовольственной политики во всем мире. Применение необременительных для респондентов опросных методик и стандартизованных показателей позволяет ВОЗ оценивать потребление продуктов питания на популяционном уровне, чаще собирать и сопоставлять данные. ВОЗ также ведет Глобальную базу данных о мерах в области продовольствия и питания (GIFNA), которая охватывает более 3100 таких мер и помогает отслеживать достигнутый прогресс и выявлять пробелы в нормативном регулировании. </w:t>
      </w:r>
    </w:p>
    <w:p w:rsidR="004B6759" w:rsidRPr="004B6759" w:rsidRDefault="00D23DAE" w:rsidP="004B6759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hyperlink r:id="rId5" w:history="1">
        <w:r w:rsidR="004B6759" w:rsidRPr="004B6759">
          <w:rPr>
            <w:rFonts w:ascii="inherit" w:eastAsia="Times New Roman" w:hAnsi="inherit" w:cs="Times New Roman"/>
            <w:b/>
            <w:bCs/>
            <w:color w:val="0000FF"/>
            <w:sz w:val="27"/>
            <w:szCs w:val="27"/>
            <w:bdr w:val="none" w:sz="0" w:space="0" w:color="auto" w:frame="1"/>
            <w:lang w:eastAsia="ru-RU"/>
          </w:rPr>
          <w:t>ССЫЛКА НА ИСТОЧНИК</w:t>
        </w:r>
      </w:hyperlink>
    </w:p>
    <w:p w:rsidR="00254766" w:rsidRDefault="00254766"/>
    <w:sectPr w:rsidR="00254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11BED"/>
    <w:multiLevelType w:val="multilevel"/>
    <w:tmpl w:val="31FC02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05E39"/>
    <w:multiLevelType w:val="multilevel"/>
    <w:tmpl w:val="1638AE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907494"/>
    <w:multiLevelType w:val="multilevel"/>
    <w:tmpl w:val="2F7054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2B3B4B"/>
    <w:multiLevelType w:val="multilevel"/>
    <w:tmpl w:val="BD4C91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E63B91"/>
    <w:multiLevelType w:val="multilevel"/>
    <w:tmpl w:val="BA8E89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5F449A"/>
    <w:multiLevelType w:val="multilevel"/>
    <w:tmpl w:val="0038BE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AF3190"/>
    <w:multiLevelType w:val="multilevel"/>
    <w:tmpl w:val="5E625A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B707DF"/>
    <w:multiLevelType w:val="multilevel"/>
    <w:tmpl w:val="72AE1C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F901E8"/>
    <w:multiLevelType w:val="multilevel"/>
    <w:tmpl w:val="891C6F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9A353F"/>
    <w:multiLevelType w:val="multilevel"/>
    <w:tmpl w:val="F44220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BC1B5F"/>
    <w:multiLevelType w:val="multilevel"/>
    <w:tmpl w:val="A0206E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8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54"/>
    <w:rsid w:val="00254766"/>
    <w:rsid w:val="004B6759"/>
    <w:rsid w:val="00D23DAE"/>
    <w:rsid w:val="00E1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B203FD"/>
  <w15:chartTrackingRefBased/>
  <w15:docId w15:val="{82A617DD-BE3F-45EE-9116-2FEBB239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53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6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ho.int/ru/news-room/fact-sheets/detail/healthy-di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3582</Words>
  <Characters>20423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2026-02-25T07:42:00Z</dcterms:created>
  <dcterms:modified xsi:type="dcterms:W3CDTF">2026-02-26T05:58:00Z</dcterms:modified>
</cp:coreProperties>
</file>