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F3A" w:rsidRPr="001F2F3A" w:rsidRDefault="001F2F3A" w:rsidP="001F2F3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УКАЗ ПРЕЗИДЕНТА РЕСПУБЛИКИ БЕЛАРУСЬ</w:t>
      </w:r>
    </w:p>
    <w:p w:rsidR="001F2F3A" w:rsidRPr="001F2F3A" w:rsidRDefault="001F2F3A" w:rsidP="001F2F3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23 сентября 2021 г. № 363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 текущем (расчетном) банковском счете физического лица с базовыми условиями обслуживания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Изменения и дополнения: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4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Указ Президента Республики Беларусь от 23 июня 2023 г. № 180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(Национальный правовой Интернет-портал Республики Беларусь, 28.06.2023, 1/20899)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 целях установления минимального социального стандарта бесплатного платежного обслуживания физических лиц* и развития конкуренции при оказании банковских услуг: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 Установить, что: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1.1. банки, в уставных фондах которых 50 и более процентов акций (долей) принадлежит Республике Беларусь, открывают физическим лицам текущие (расчетные) банковские счета в белорусских рублях, с владельцев которых не взимается вознаграждение (плата) за осуществление на территории Республики Беларусь и в национальном сегменте глобальной компьютерной сети Интернет операций, включаемых в базовые условия обслуживания (далее – базовый счет), согласно </w:t>
      </w:r>
      <w:hyperlink r:id="rId5" w:anchor="%D0%9F%D1%80%D0%B8%D0%BB_2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приложению 2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Банки, не указанные в части первой настоящего подпункта, вправе открывать физическим лицам базовые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______________________________</w:t>
      </w:r>
    </w:p>
    <w:p w:rsidR="001F2F3A" w:rsidRPr="001F2F3A" w:rsidRDefault="001F2F3A" w:rsidP="001F2F3A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* Для целей настоящего Указа термины используются в значениях, определенных в </w:t>
      </w:r>
      <w:hyperlink r:id="rId6" w:anchor="%D0%9F%D1%80%D0%B8%D0%BB_1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приложении 1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1.2. отношения по открытию, закрытию базовых счетов, совершению операций по базовым счетам регулируются банковским законодательством, регламентирующим открытие, закрытие текущих (расчетных) банковских счетов физических лиц (далее – текущий счет), осуществление операций по текущим счетам, с учетом особенностей, предусмотренных настоящим Указом и иным законодательством;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1.3. банки обязаны: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осуществлять операции переоформления текущего счета в базовый счет, переоформления базового счета в текущий счет, переноса базового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информировать физических лиц, в том числе путем размещения информации на официальном сайте в глобальной компьютерной сети Интернет, о порядке открытия, закрытия базовых счетов, осуществления операций переоформления текущего счета в базовый счет, переоформления базового счета в текущий счет, переноса базового счета.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Банк вправе не взимать вознаграждение (плату) с владельца базового счета по операциям, не включенным в базовые условия обслуживания. В случае взимания банком </w:t>
      </w:r>
      <w:r w:rsidRPr="001F2F3A">
        <w:rPr>
          <w:rFonts w:ascii="Times New Roman" w:eastAsia="Times New Roman" w:hAnsi="Times New Roman" w:cs="Times New Roman"/>
          <w:sz w:val="24"/>
          <w:szCs w:val="24"/>
        </w:rPr>
        <w:lastRenderedPageBreak/>
        <w:t>вознаграждения (платы) с владельца базового счета по операциям, не включенным в базовые условия обслуживания, размер такого вознаграждения (платы) не должен превышать установленный в банке максимальный размер вознаграждения (платы), взимаемого за проведение аналогичных операций с владельца текущего счета.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Банк не вправе обусловливать осуществление операций, включенных в базовые условия обслуживания, осуществлением операций, за проведение которых взимается вознаграждение (плата) с владельца базового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1.4. при обеспечении доступа к базовому счету с использованием банковской платежной карточки (далее – карточка) банк выдает карточку платежной системы, оператором которой является резидент, и (или) кобейджинговую карточку, выпущенную в обращение в рамках правил двух платежных систем, оператором одной из которых является резидент.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Операции при использовании кобейджинговой карточки для обеспечения доступа к базовому счету на территории Республики Беларусь и в национальном сегменте глобальной компьютерной сети Интернет осуществляются в соответствии с правилами платежной системы, оператором которой является резидент.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При обеспечении доступа к базовому счету с использованием иного платежного инструмента такой платежный инструмент должен быть создан (разработан) резидентом;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1.5. физическое лицо вправе: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выбирать банк для открытия базового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иметь один базовый счет, за исключением случая осуществления операции переноса базового счета. В этом случае допускается одновременное наличие у физического лица двух базовых счетов в разных банках – базового счета в одном банке, в отношении которого инициирован перенос базового счета, и базового счета в другом банке, открытого после инициирования переноса базового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инициировать открытие, закрытие базового счета, операции переоформления текущего счета в базовый счет, переоформления базового счета в текущий счет, переноса базового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1.6. физические лица, имеющие в соответствии с законодательством право на получение выплат социального характера, стипендий, надбавок к стипендиям и материальной помощи обучающимся (далее – стипендии) и изъявившие желание либо обязанные в соответствии с актами законодательства получать такие выплаты, стипендии через банки, открывают для их получения базовые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1.7. физические лица, получающие выплаты социального характера, стипендии через банки и изъявившие желание продолжить их получение через банки либо обязанные в соответствии с актами законодательства получать такие выплаты, стипендии через банки, до 1 июля 2025 г. открывают базовые счета или осуществляют операции переоформления текущих счетов в базовые счета для зачисления на них выплат социального характера, стипендий.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 случае отсутствия на 1 июля 2025 г. волеизъявления физического лица продолжать получение выплат социального характера, стипендий на базовый счет: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lastRenderedPageBreak/>
        <w:t>зачисление выплат социального характера, стипендий, обязанность получения которых через банки установлена актами законодательства, приостанавливается до открытия этим физическим лицом базового счета (осуществления операции переоформления текущего счета в базовый счет) и получения организацией, осуществляющей их выплату, информации о таком базовом счете и его реквизитах;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выплаты социального характера осуществляются, стипендии выплачиваются физическому лицу иными способами, предусмотренными законодательством, определяющим порядок осуществления их выплаты.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Банки взаимодействуют с организациями, осуществляющими выплаты социального характера, выплату стипендий, в порядке, определенном в </w:t>
      </w:r>
      <w:hyperlink r:id="rId7" w:anchor="%D0%9F%D1%80%D0%B8%D0%BB_3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приложении 3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1.8. при волеизъявлении физического лица получать заработную плату и приравненные к ней выплаты на указанный этим физическим лицом базовый счет наниматель, выплачивающий этому физическому лицу заработную плату и приравненные к ней выплаты, перечисляет их на такой счет, если иной порядок выплат не установлен </w:t>
      </w:r>
      <w:hyperlink r:id="rId8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Законом Республики Беларусь от 24 октября 2016 г. № 439-З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«Об исполнительном производстве».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Наниматель, перечисляющий в соответствии с частью первой настоящего подпункта заработную плату и приравненные к ней выплаты на указанный физическим лицом базовый счет, уплачивает банку, обслуживающему счет этого нанимателя (далее – банк нанимателя), вознаграждение (плату) за такое перечисление, если иное не определено договором между банком нанимателя и нанимателем.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Порядок уплаты вознаграждения (платы) и его размер устанавливаются в договоре, заключенном между банком нанимателя и нанимателем. При этом размер вознаграждения (платы) за перечисление заработной платы и приравненных к ней выплат на базовые счета, открытые в иных банках, не должен превышать размер вознаграждения (платы) за перечисление (зачисление) заработной платы и приравненных к ней выплат на базовые и текущие счета, открытые в банке нанимателя.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Если наниматель не осуществляет перечисление заработной платы и приравненных к ней выплат на базовые и текущие счета, открытые в банке нанимателя, размер вознаграждения (платы) за перечисление заработной платы и приравненных к ней выплат на базовые счета, открытые в иных банках, и порядок уплаты нанимателем такого вознаграждения (платы) (если вознаграждение (плата) взимается) устанавливаются в договоре, заключенном между банком нанимателя и нанимателем.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Перечисление денежных средств на базовые счета со счетов по учету средств республиканского и местных бюджетов в целях выплаты нанимателями с этих счетов заработной платы и приравненных к ней выплат осуществляется банками без взимания вознаграждения (платы);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1.9. соблюдение требования, установленного в абзаце третьем </w:t>
      </w:r>
      <w:hyperlink r:id="rId9" w:anchor="&amp;Point=1&amp;UnderPoint=1.5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подпункта 1.5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пункта, обеспечивается посредством функционирования автоматизированной системы учета базовых счетов (далее – автоматизированная система).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Владельцем автоматизированной системы является Национальный банк, техническим оператором – ОАО «Белорусский межбанковский расчетный центр». Банки являются участниками и пользователями автоматизированной системы.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lastRenderedPageBreak/>
        <w:t>Создание и развитие автоматизированной системы осуществляются за счет средств Национального банка, предусматриваемых сметой текущих расходов и капитальных вложений Национального банка, а также иных источников, не запрещенных законодательством;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1.10. банки, открывающие базовые счета, обязаны предоставлять в автоматизированную систему информацию, установленную владельцем автоматизированной системы. Предоставление в автоматизированную систему такой информации и ее получение из этой системы в целях реализации положений настоящего Указа не являются нарушением банковской тайны. Ответственность за предоставление в автоматизированную систему полной, точной, достоверной информации и своевременность ее предоставления несут банки.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Обработка персональных данных владельцев базовых счетов в автоматизированной системе и получение таких данных из этой системы в целях соблюдения требования, установленного в абзаце третьем </w:t>
      </w:r>
      <w:hyperlink r:id="rId10" w:anchor="&amp;Point=1&amp;UnderPoint=1.5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подпункта 1.5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пункта, осуществляются без согласия владельцев базовых счетов.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Условия взимания вознаграждения (платы) за участие в автоматизированной системе и размер такого вознаграждения (платы) устанавливаются договором, заключаемым между техническим оператором автоматизированной системы и банком – участником автоматизированной системы;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1.11. Национальный банк: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определяет порядок функционирования автоматизированной системы;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определяет перечень информации, подлежащей сбору, предоставлению, получению, передаче, обработке, накоплению, хранению, пользованию в целях обеспечения функционирования автоматизированной системы;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заключает с техническим оператором автоматизированной системы договор на создание и развитие автоматизированной системы;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устанавливает перечень и объемы операций в рамках базовых условий обслуживания, а также иных операций с базовым счетом, за проведение которых может взиматься вознаграждение (плата);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определяет порядок и условия открытия, закрытия базовых счетов, осуществления операций переоформления текущего счета в базовый счет, переоформления базового счета в текущий счет, переноса базового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1.12. ОАО «Белорусский межбанковский расчетный центр»: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обеспечивает функционирование автоматизированной системы, техническое взаимодействие с ее участниками;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осуществляет программно-техническое сопровождение, развитие автоматизированной системы;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заключает с банками договоры об участии в автоматизированной системе;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lastRenderedPageBreak/>
        <w:t>заключает с организациями, осуществляющими выплаты социального характера, выплату стипендий, договоры о взаимодействии при обеспечении получения такими организациями сведений из автоматизированной системы (при необходимости).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2. Предоставить право Национальному банку разъяснять вопросы применения настоящего Указа.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3. До 1 марта 2022 г. Национальному банку обеспечить создание автоматизированной системы и ввести ее в эксплуатацию, ОАО «Белорусский межбанковский расчетный центр» создать автоматизированную систему.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4. Национальному банку и Совету Министров Республики Беларусь до 1 марта 2022 г.: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установить перечень выплат социального характера, для получения которых физические лица, имеющие в соответствии с законодательством право на получение выплат социального характера и изъявившие желание либо обязанные в соответствии с актами законодательства получать такие выплаты через банки, открывают базовые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обеспечить приведение актов законодательства в соответствие с настоящим Указом;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принять иные меры по реализации настоящего Указа.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5. Настоящий Указ вступает в силу в следующем порядке: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1" w:anchor="&amp;Point=1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пункты 1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(за исключением </w:t>
      </w:r>
      <w:hyperlink r:id="rId12" w:anchor="&amp;Point=1&amp;UnderPoint=1.6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подпункта 1.6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, частей первой и второй </w:t>
      </w:r>
      <w:hyperlink r:id="rId13" w:anchor="&amp;Point=1&amp;UnderPoint=1.7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подпункта 1.7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>) и </w:t>
      </w:r>
      <w:hyperlink r:id="rId14" w:anchor="&amp;Point=2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2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> – с 1 марта 2022 г.;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5" w:anchor="&amp;Point=1&amp;UnderPoint=1.6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подпункт 1.6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, части первая и вторая </w:t>
      </w:r>
      <w:hyperlink r:id="rId16" w:anchor="&amp;Point=1&amp;UnderPoint=1.7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подпункта 1.7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пункта 1 – с 1 июля 2022 г.;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иные положения настоящего Указа – после его официального опубликования.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683"/>
        <w:gridCol w:w="4684"/>
      </w:tblGrid>
      <w:tr w:rsidR="001F2F3A" w:rsidRPr="001F2F3A" w:rsidTr="001F2F3A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Президент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F2F3A" w:rsidRPr="001F2F3A" w:rsidRDefault="001F2F3A" w:rsidP="001F2F3A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А.Лукашенко</w:t>
            </w:r>
          </w:p>
        </w:tc>
      </w:tr>
    </w:tbl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025"/>
        <w:gridCol w:w="2342"/>
      </w:tblGrid>
      <w:tr w:rsidR="001F2F3A" w:rsidRPr="001F2F3A" w:rsidTr="001F2F3A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Прил_1"/>
            <w:bookmarkEnd w:id="0"/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1</w:t>
            </w:r>
          </w:p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к Указу Президента</w:t>
            </w: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Республики Беларусь</w:t>
            </w: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23.09.2021 № 363</w:t>
            </w:r>
          </w:p>
        </w:tc>
      </w:tr>
    </w:tbl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1" w:name="Заг_Прил_1"/>
      <w:bookmarkEnd w:id="1"/>
      <w:r w:rsidRPr="001F2F3A">
        <w:rPr>
          <w:rFonts w:ascii="Times New Roman" w:eastAsia="Times New Roman" w:hAnsi="Times New Roman" w:cs="Times New Roman"/>
          <w:sz w:val="24"/>
          <w:szCs w:val="24"/>
        </w:rPr>
        <w:t>ТЕРМИНЫ</w:t>
      </w:r>
      <w:r w:rsidRPr="001F2F3A">
        <w:rPr>
          <w:rFonts w:ascii="Times New Roman" w:eastAsia="Times New Roman" w:hAnsi="Times New Roman" w:cs="Times New Roman"/>
          <w:sz w:val="24"/>
          <w:szCs w:val="24"/>
        </w:rPr>
        <w:br/>
        <w:t>и их определения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 Заработная плата и приравненные к ней выплаты: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1.1. заработная плата в значении, установленном </w:t>
      </w:r>
      <w:hyperlink r:id="rId17" w:anchor="&amp;Article=57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статьей 57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Трудового кодекса Республики Беларусь;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lastRenderedPageBreak/>
        <w:t>1.2. стимулирующие и компенсирующие выплаты, устанавливаемые нанимателем на основании коллективного договора, соглашения, иных локальных правовых актов и трудового договора;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1.3. другие выплаты и пособия, на которые работник имеет право в соответствии с законодательством;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1.4. материальная помощь;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1.5. алименты.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2. Кобейджинговая карточка – дебетовая карточка, выпущенная в обращение в рамках правил двух платежных систем.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3. Оператор платежной системы – юридическое лицо, обеспечивающее функционирование платежной системы и определяющее ее правила.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4. Операция переноса базового счета – инициированная физическим лицом процедура закрытия базового счета в одном банке в целях открытия этому же физическому лицу базового счета в другом банке.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5. Операция переоформления базового счета в текущий счет – инициированная физическим лицом процедура закрытия базового счета в банке в целях открытия этому же физическому лицу текущего счета в этом же банке.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6. Операция переоформления текущего счета в базовый счет – инициированная физическим лицом процедура закрытия текущего счета в банке в целях открытия этому же физическому лицу базового счета в этом же банке.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7. Резидент – юридическое лицо, созданное в соответствии с законодательством Республики Беларусь, с местом нахождения в Республике Беларусь, его филиалы и представительства, находящиеся в Республике Беларусь и за ее пределами, индивидуальный предприниматель, зарегистрированный в Республике Беларусь.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8. Физическое лицо – гражданин Республики Беларусь, иностранный гражданин и лицо без гражданства, имеющие вид на жительство в Республике Беларусь, биометрический вид на жительство в Республике Беларусь, за исключением индивидуального предпринимателя, нотариуса, осуществляющего нотариальную деятельность в нотариальном бюро.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9. Термин «наниматель» используется в значении, определенном в абзаце седьмом части первой </w:t>
      </w:r>
      <w:hyperlink r:id="rId18" w:anchor="&amp;Article=1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статьи 1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Трудового кодекса Республики Беларусь.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025"/>
        <w:gridCol w:w="2342"/>
      </w:tblGrid>
      <w:tr w:rsidR="001F2F3A" w:rsidRPr="001F2F3A" w:rsidTr="001F2F3A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Прил_2"/>
            <w:bookmarkEnd w:id="2"/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2</w:t>
            </w:r>
          </w:p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к Указу Президента</w:t>
            </w: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Республики Беларусь</w:t>
            </w: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23.09.2021 № 363</w:t>
            </w:r>
          </w:p>
        </w:tc>
      </w:tr>
    </w:tbl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3" w:name="Заг_Прил_2"/>
      <w:bookmarkEnd w:id="3"/>
      <w:r w:rsidRPr="001F2F3A">
        <w:rPr>
          <w:rFonts w:ascii="Times New Roman" w:eastAsia="Times New Roman" w:hAnsi="Times New Roman" w:cs="Times New Roman"/>
          <w:sz w:val="24"/>
          <w:szCs w:val="24"/>
        </w:rPr>
        <w:lastRenderedPageBreak/>
        <w:t>ОПЕРАЦИИ,</w:t>
      </w:r>
      <w:r w:rsidRPr="001F2F3A">
        <w:rPr>
          <w:rFonts w:ascii="Times New Roman" w:eastAsia="Times New Roman" w:hAnsi="Times New Roman" w:cs="Times New Roman"/>
          <w:sz w:val="24"/>
          <w:szCs w:val="24"/>
        </w:rPr>
        <w:br/>
        <w:t>включаемые в базовые условия обслуживания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 базовые условия обслуживания включаются следующие операции: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открытие базового счета, в том числе в результате операции переноса базового счета;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зачисление на базовый счет выплат социального характера, заработной платы и приравненных к ней выплат, стипендий;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зачисление на базовый счет денежных средств, перечисленных установленным банком способом с иных счетов, открытых в этом же банке этому же физическому лицу;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перечисление с базового счета установленным банком способом денежных средств на иные счета, открытые в этом же банке этому же физическому лицу;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перечисление с базового счета денежных средств на иной счет по причине закрытия базового счета, в том числе в результате операций переноса базового счета, переоформления базового счета в текущий счет;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перечисление с базового счета денежных средств в результате совершенных при использовании карточки операций оплаты в организациях торговли (сервиса), в том числе посредством глобальной компьютерной сети Интернет;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перечисление с базового счета денежных средств в результате совершенных при использовании карточки операций оплаты посредством автоматизированной информационной системы единого расчетного и информационного пространства;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перечисление с базового счета денежных средств в результате совершения банковского перевода посредством автоматизированной информационной системы единого расчетного и информационного пространства для их зачисления на текущий счет, счет по учету вклада (депозита) физического лица, осуществления платежей по кредитному договору, заключенному между банком и физическим лицом;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выдача с базового счета денежных средств наличными деньгами через кассы, иные объекты программно-технической инфраструктуры банка, в котором открыт базовый счет, в связи с закрытием базового счета, а также в иных случаях, установленных Национальным банком;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выпуск в обращение одной карточки для использования владельцем базового счета, ее обслуживание, возврат (замена) в связи с истечением срока действия или невозможностью использования такой карточки в течение срока ее действия по причине, не зависящей от владельца базового счета (физический износ карточки, ее техническая неисправность);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переоформление текущего счета в базовый счет, если такая операция инициируется одним и тем же физическим лицом в одном и том же банке не чаще одного раза в течение календарного года;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переоформление базового счета в текущий счет, если такая операция инициируется одним и тем же физическим лицом в одном и том же банке не чаще одного раза в течение календарного года;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lastRenderedPageBreak/>
        <w:t>закрытие базового счета, в том числе в результате операции переноса базового счета, если закрытие по инициативе одного и того же физического лица производится в одном и том же банке не чаще одного раза в течение календарного года;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операции, за осуществление которых с владельца текущего счета вознаграждение (плата) не взимается в соответствии с законодательными актами;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иные операции, установленные Национальным банком.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025"/>
        <w:gridCol w:w="2342"/>
      </w:tblGrid>
      <w:tr w:rsidR="001F2F3A" w:rsidRPr="001F2F3A" w:rsidTr="001F2F3A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" w:name="Прил_3"/>
            <w:bookmarkEnd w:id="4"/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3</w:t>
            </w:r>
          </w:p>
          <w:p w:rsidR="001F2F3A" w:rsidRPr="001F2F3A" w:rsidRDefault="001F2F3A" w:rsidP="001F2F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t>к Указу Президента</w:t>
            </w: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Республики Беларусь</w:t>
            </w:r>
            <w:r w:rsidRPr="001F2F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23.09.2021 № 363</w:t>
            </w:r>
          </w:p>
        </w:tc>
      </w:tr>
    </w:tbl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5" w:name="Заг_Прил_3"/>
      <w:bookmarkEnd w:id="5"/>
      <w:r w:rsidRPr="001F2F3A">
        <w:rPr>
          <w:rFonts w:ascii="Times New Roman" w:eastAsia="Times New Roman" w:hAnsi="Times New Roman" w:cs="Times New Roman"/>
          <w:sz w:val="24"/>
          <w:szCs w:val="24"/>
        </w:rPr>
        <w:t>ПОРЯДОК</w:t>
      </w:r>
      <w:r w:rsidRPr="001F2F3A">
        <w:rPr>
          <w:rFonts w:ascii="Times New Roman" w:eastAsia="Times New Roman" w:hAnsi="Times New Roman" w:cs="Times New Roman"/>
          <w:sz w:val="24"/>
          <w:szCs w:val="24"/>
        </w:rPr>
        <w:br/>
        <w:t>взаимодействия банков с организациями, осуществляющими выплаты социального характера, выплату стипендий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1. Выплаты социального характера зачисляются банком на базовые счета при наличии договора, устанавливающего порядок взаимодействия этого банка с организацией, осуществляющей выплаты социального характера, в процессе осуществления таких выплат.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Стипендии зачисляются на базовые счета при наличии договора, устанавливающего порядок взаимодействия организации, осуществляющей выплату стипендий, с банком, в котором открыт счет этой организации, или с банком, зачисляющим стипендии на базовые счета, в процессе выплаты стипендий.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2. Организации, осуществляющие выплаты социального характера, выплату стипендий, получают информацию о наличии у физического лица базового счета и его реквизитах: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посредством доступа к автоматизированной системе;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из справки о наличии базового счета и его реквизитах, выданной банком, в котором открыт базовый счет, владельцу данного базового счета для представления в организацию, осуществляющую выплаты социального характера, выплату стипендий;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непосредственно от банка, открывшего базовый счет, если предоставление такой информации предусмотрено договором между этим банком и организацией, осуществляющей выплаты социального характера, выплату стипендий.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Справка, указанная в абзаце третьем части первой настоящего пункта, выдается банком, открывшим базовый счет, без взимания вознаграждения (платы) с владельца базового счета. При обращении владельца базового счета за получением справки в целях ее представления в организацию, осуществляющую выплаты социального характера, выплату стипендий, ее выдача осуществляется банком не позднее банковского дня, следующего за днем обращения владельца базового счета.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lastRenderedPageBreak/>
        <w:t>Направление банком информации, указанной в абзаце четвертом части первой настоящего пункта, осуществляется в срок, установленный договором между банком и организацией, осуществляющей выплаты социального характера, выплату стипендий.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3. Организации, осуществляющие выплаты социального характера, выплату стипендий, перечисляют такие выплаты, стипендии на базовые счета при условии наличия у этих организаций информации о таких базовых счетах и их реквизитах, полученной в соответствии с частью первой </w:t>
      </w:r>
      <w:hyperlink r:id="rId19" w:anchor="%D0%9F%D1%80%D0%B8%D0%BB_3&amp;Point=2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пункта 2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порядка.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В случае неполучения информации в соответствии с частью первой </w:t>
      </w:r>
      <w:hyperlink r:id="rId20" w:anchor="%D0%9F%D1%80%D0%B8%D0%BB_3&amp;Point=2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пункта 2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порядка, подтверждающей наличие у физического лица базового счета, а также в случае возврата выплат социального характера, стипендий организации, осуществившей их выплату на базовый счет, по причине закрытия базового счета, в том числе в результате осуществления операции переоформления базового счета в текущий счет или переноса базового счета: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зачисление выплат социального характера, стипендий, обязанность получения которых через банки установлена актами законодательства, приостанавливается до получения организацией, осуществляющей их выплату, информации о базовом счете и его реквизитах;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выплаты социального характера осуществляются, стипендии выплачиваются физическому лицу иными способами, предусмотренными законодательством, определяющим порядок осуществления выплат социального характера, выплаты стипендий.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4. Предоставление из автоматизированной системы информации о наличии у физического лица базового счета и его реквизитах в соответствии с абзацем вторым части первой </w:t>
      </w:r>
      <w:hyperlink r:id="rId21" w:anchor="%D0%9F%D1%80%D0%B8%D0%BB_3&amp;Point=2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пункта 2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порядка производится посредством общегосударственной автоматизированной информационной системы и (или) иным способом, определяемым Национальным банком, без взимания вознаграждения (платы) с организаций, осуществляющих выплаты социального характера, выплату стипендий.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Организации, осуществляющие выплаты социального характера, выплату стипендий, в случае получения информации о наличии у физического лица базового счета и его реквизитах посредством доступа к автоматизированной системе являются пользователями информации, содержащейся в автоматизированной системе.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5. Предоставление банком информации в соответствии с абзацем четвертым части первой </w:t>
      </w:r>
      <w:hyperlink r:id="rId22" w:anchor="%D0%9F%D1%80%D0%B8%D0%BB_3&amp;Point=2" w:history="1">
        <w:r w:rsidRPr="001F2F3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пункта 2</w:t>
        </w:r>
      </w:hyperlink>
      <w:r w:rsidRPr="001F2F3A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порядка осуществляется без согласия владельца базового счета.</w:t>
      </w:r>
    </w:p>
    <w:p w:rsidR="001F2F3A" w:rsidRPr="001F2F3A" w:rsidRDefault="001F2F3A" w:rsidP="001F2F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2F3A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F2F3A" w:rsidRPr="001F2F3A" w:rsidRDefault="001F2F3A" w:rsidP="001F2F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219200" cy="342900"/>
            <wp:effectExtent l="19050" t="0" r="0" b="0"/>
            <wp:docPr id="1" name="Рисунок 1" descr="https://etalonline.by/images/logo-wh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talonline.by/images/logo-white.pn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EA0" w:rsidRDefault="00754EA0"/>
    <w:sectPr w:rsidR="00754E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F2F3A"/>
    <w:rsid w:val="001F2F3A"/>
    <w:rsid w:val="00754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1F2F3A"/>
  </w:style>
  <w:style w:type="character" w:customStyle="1" w:styleId="promulgator">
    <w:name w:val="promulgator"/>
    <w:basedOn w:val="a0"/>
    <w:rsid w:val="001F2F3A"/>
  </w:style>
  <w:style w:type="paragraph" w:customStyle="1" w:styleId="newncpi">
    <w:name w:val="newncpi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tepr">
    <w:name w:val="datepr"/>
    <w:basedOn w:val="a0"/>
    <w:rsid w:val="001F2F3A"/>
  </w:style>
  <w:style w:type="character" w:customStyle="1" w:styleId="number">
    <w:name w:val="number"/>
    <w:basedOn w:val="a0"/>
    <w:rsid w:val="001F2F3A"/>
  </w:style>
  <w:style w:type="paragraph" w:customStyle="1" w:styleId="titlencpi">
    <w:name w:val="titlencpi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ngeadd">
    <w:name w:val="changeadd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1F2F3A"/>
    <w:rPr>
      <w:color w:val="0000FF"/>
      <w:u w:val="single"/>
    </w:rPr>
  </w:style>
  <w:style w:type="paragraph" w:customStyle="1" w:styleId="point">
    <w:name w:val="point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noskiline">
    <w:name w:val="snoskiline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ost">
    <w:name w:val="post"/>
    <w:basedOn w:val="a0"/>
    <w:rsid w:val="001F2F3A"/>
  </w:style>
  <w:style w:type="character" w:customStyle="1" w:styleId="pers">
    <w:name w:val="pers"/>
    <w:basedOn w:val="a0"/>
    <w:rsid w:val="001F2F3A"/>
  </w:style>
  <w:style w:type="paragraph" w:customStyle="1" w:styleId="append1">
    <w:name w:val="append1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ppend">
    <w:name w:val="append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">
    <w:name w:val="titlep"/>
    <w:basedOn w:val="a"/>
    <w:rsid w:val="001F2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F2F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2F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94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675240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3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3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25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805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0425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72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704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08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0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9992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05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3561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1794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1622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978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6346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04031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033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842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alonline.by/webnpa/text.asp?RN=H11600439" TargetMode="External"/><Relationship Id="rId13" Type="http://schemas.openxmlformats.org/officeDocument/2006/relationships/hyperlink" Target="https://etalonline.by/document/?regnum=p32100363" TargetMode="External"/><Relationship Id="rId18" Type="http://schemas.openxmlformats.org/officeDocument/2006/relationships/hyperlink" Target="https://etalonline.by/webnpa/text.asp?RN=HK9900296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etalonline.by/document/?regnum=p32100363" TargetMode="External"/><Relationship Id="rId7" Type="http://schemas.openxmlformats.org/officeDocument/2006/relationships/hyperlink" Target="https://etalonline.by/document/?regnum=p32100363" TargetMode="External"/><Relationship Id="rId12" Type="http://schemas.openxmlformats.org/officeDocument/2006/relationships/hyperlink" Target="https://etalonline.by/document/?regnum=p32100363" TargetMode="External"/><Relationship Id="rId17" Type="http://schemas.openxmlformats.org/officeDocument/2006/relationships/hyperlink" Target="https://etalonline.by/webnpa/text.asp?RN=HK9900296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etalonline.by/document/?regnum=p32100363" TargetMode="External"/><Relationship Id="rId20" Type="http://schemas.openxmlformats.org/officeDocument/2006/relationships/hyperlink" Target="https://etalonline.by/document/?regnum=p32100363" TargetMode="External"/><Relationship Id="rId1" Type="http://schemas.openxmlformats.org/officeDocument/2006/relationships/styles" Target="styles.xml"/><Relationship Id="rId6" Type="http://schemas.openxmlformats.org/officeDocument/2006/relationships/hyperlink" Target="https://etalonline.by/document/?regnum=p32100363" TargetMode="External"/><Relationship Id="rId11" Type="http://schemas.openxmlformats.org/officeDocument/2006/relationships/hyperlink" Target="https://etalonline.by/document/?regnum=p32100363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etalonline.by/document/?regnum=p32100363" TargetMode="External"/><Relationship Id="rId15" Type="http://schemas.openxmlformats.org/officeDocument/2006/relationships/hyperlink" Target="https://etalonline.by/document/?regnum=p32100363" TargetMode="External"/><Relationship Id="rId23" Type="http://schemas.openxmlformats.org/officeDocument/2006/relationships/image" Target="media/image1.png"/><Relationship Id="rId10" Type="http://schemas.openxmlformats.org/officeDocument/2006/relationships/hyperlink" Target="https://etalonline.by/document/?regnum=p32100363" TargetMode="External"/><Relationship Id="rId19" Type="http://schemas.openxmlformats.org/officeDocument/2006/relationships/hyperlink" Target="https://etalonline.by/document/?regnum=p32100363" TargetMode="External"/><Relationship Id="rId4" Type="http://schemas.openxmlformats.org/officeDocument/2006/relationships/hyperlink" Target="https://etalonline.by/webnpa/text.asp?RN=P32300180" TargetMode="External"/><Relationship Id="rId9" Type="http://schemas.openxmlformats.org/officeDocument/2006/relationships/hyperlink" Target="https://etalonline.by/document/?regnum=p32100363" TargetMode="External"/><Relationship Id="rId14" Type="http://schemas.openxmlformats.org/officeDocument/2006/relationships/hyperlink" Target="https://etalonline.by/document/?regnum=p32100363" TargetMode="External"/><Relationship Id="rId22" Type="http://schemas.openxmlformats.org/officeDocument/2006/relationships/hyperlink" Target="https://etalonline.by/document/?regnum=p321003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3442</Words>
  <Characters>19622</Characters>
  <Application>Microsoft Office Word</Application>
  <DocSecurity>0</DocSecurity>
  <Lines>163</Lines>
  <Paragraphs>46</Paragraphs>
  <ScaleCrop>false</ScaleCrop>
  <Company>UTZSZ</Company>
  <LinksUpToDate>false</LinksUpToDate>
  <CharactersWithSpaces>23018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LISHKO</dc:creator>
  <cp:keywords/>
  <dc:description/>
  <cp:lastModifiedBy>LISHKO</cp:lastModifiedBy>
  <cp:revision>2</cp:revision>
  <dcterms:created xsi:type="dcterms:W3CDTF">2025-01-27T06:45:00Z</dcterms:created>
  <dcterms:modified xsi:type="dcterms:W3CDTF">2025-01-27T06:46:00Z</dcterms:modified>
</cp:coreProperties>
</file>